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E8DB0" w14:textId="77777777" w:rsidR="00653A61" w:rsidRDefault="00563720">
      <w:pPr>
        <w:rPr>
          <w:rFonts w:ascii="Arial" w:hAnsi="Arial" w:cs="Arial"/>
          <w:b/>
          <w:bCs/>
          <w:color w:val="2E74B5" w:themeColor="accent1" w:themeShade="BF"/>
          <w:sz w:val="24"/>
          <w:szCs w:val="24"/>
        </w:rPr>
      </w:pPr>
      <w:r>
        <w:rPr>
          <w:rFonts w:ascii="Arial" w:hAnsi="Arial" w:cs="Arial"/>
          <w:b/>
          <w:color w:val="2E74B5" w:themeColor="accent1" w:themeShade="BF"/>
          <w:sz w:val="32"/>
          <w:szCs w:val="24"/>
        </w:rPr>
        <w:t xml:space="preserve">Marketing emocional en plataformas de </w:t>
      </w:r>
      <w:proofErr w:type="spellStart"/>
      <w:r>
        <w:rPr>
          <w:rFonts w:ascii="Arial" w:hAnsi="Arial" w:cs="Arial"/>
          <w:b/>
          <w:i/>
          <w:color w:val="2E74B5" w:themeColor="accent1" w:themeShade="BF"/>
          <w:sz w:val="32"/>
          <w:szCs w:val="24"/>
        </w:rPr>
        <w:t>fast</w:t>
      </w:r>
      <w:proofErr w:type="spellEnd"/>
      <w:r>
        <w:rPr>
          <w:rFonts w:ascii="Arial" w:hAnsi="Arial" w:cs="Arial"/>
          <w:b/>
          <w:i/>
          <w:color w:val="2E74B5" w:themeColor="accent1" w:themeShade="BF"/>
          <w:sz w:val="32"/>
          <w:szCs w:val="24"/>
        </w:rPr>
        <w:t xml:space="preserve"> </w:t>
      </w:r>
      <w:proofErr w:type="spellStart"/>
      <w:r>
        <w:rPr>
          <w:rFonts w:ascii="Arial" w:hAnsi="Arial" w:cs="Arial"/>
          <w:b/>
          <w:i/>
          <w:color w:val="2E74B5" w:themeColor="accent1" w:themeShade="BF"/>
          <w:sz w:val="32"/>
          <w:szCs w:val="24"/>
        </w:rPr>
        <w:t>fashion</w:t>
      </w:r>
      <w:proofErr w:type="spellEnd"/>
      <w:r>
        <w:rPr>
          <w:rFonts w:ascii="Arial" w:hAnsi="Arial" w:cs="Arial"/>
          <w:b/>
          <w:color w:val="2E74B5" w:themeColor="accent1" w:themeShade="BF"/>
          <w:sz w:val="32"/>
          <w:szCs w:val="24"/>
        </w:rPr>
        <w:t xml:space="preserve"> y su efecto en los jóvenes de Bogotá: ¿Un factor de amenaza para las marcas locales?</w:t>
      </w:r>
      <w:r>
        <w:rPr>
          <w:rFonts w:ascii="Arial" w:hAnsi="Arial" w:cs="Arial"/>
          <w:b/>
          <w:sz w:val="24"/>
          <w:szCs w:val="24"/>
        </w:rPr>
        <w:br/>
      </w:r>
      <w:r>
        <w:rPr>
          <w:rFonts w:ascii="Arial" w:hAnsi="Arial" w:cs="Arial"/>
          <w:b/>
          <w:bCs/>
          <w:sz w:val="24"/>
          <w:szCs w:val="24"/>
        </w:rPr>
        <w:br/>
        <w:t xml:space="preserve">Línea de profundización: </w:t>
      </w:r>
      <w:r>
        <w:rPr>
          <w:rFonts w:ascii="Arial" w:hAnsi="Arial" w:cs="Arial"/>
          <w:b/>
          <w:bCs/>
          <w:color w:val="2E74B5" w:themeColor="accent1" w:themeShade="BF"/>
          <w:sz w:val="24"/>
          <w:szCs w:val="24"/>
        </w:rPr>
        <w:t xml:space="preserve">Comportamiento del consumidor </w:t>
      </w:r>
      <w:r>
        <w:rPr>
          <w:rFonts w:ascii="Arial" w:hAnsi="Arial" w:cs="Arial"/>
          <w:b/>
          <w:bCs/>
          <w:color w:val="2E74B5" w:themeColor="accent1" w:themeShade="BF"/>
          <w:sz w:val="24"/>
          <w:szCs w:val="24"/>
        </w:rPr>
        <w:br/>
      </w:r>
      <w:r>
        <w:rPr>
          <w:rFonts w:ascii="Arial" w:hAnsi="Arial" w:cs="Arial"/>
          <w:b/>
          <w:bCs/>
          <w:sz w:val="24"/>
          <w:szCs w:val="24"/>
        </w:rPr>
        <w:t>Grupo de Investigación Mercadeo I+2</w:t>
      </w:r>
      <w:r>
        <w:rPr>
          <w:rFonts w:ascii="Arial" w:hAnsi="Arial" w:cs="Arial"/>
          <w:b/>
          <w:bCs/>
          <w:sz w:val="24"/>
          <w:szCs w:val="24"/>
        </w:rPr>
        <w:br/>
      </w:r>
      <w:r>
        <w:rPr>
          <w:rFonts w:ascii="Arial" w:hAnsi="Arial" w:cs="Arial"/>
          <w:b/>
          <w:bCs/>
          <w:sz w:val="24"/>
          <w:szCs w:val="24"/>
        </w:rPr>
        <w:br/>
      </w:r>
      <w:proofErr w:type="spellStart"/>
      <w:r>
        <w:rPr>
          <w:rFonts w:ascii="Arial" w:hAnsi="Arial" w:cs="Arial"/>
          <w:b/>
          <w:bCs/>
          <w:color w:val="2E74B5" w:themeColor="accent1" w:themeShade="BF"/>
          <w:sz w:val="24"/>
          <w:szCs w:val="24"/>
        </w:rPr>
        <w:t>MSc</w:t>
      </w:r>
      <w:proofErr w:type="spellEnd"/>
      <w:r>
        <w:rPr>
          <w:rFonts w:ascii="Arial" w:hAnsi="Arial" w:cs="Arial"/>
          <w:b/>
          <w:bCs/>
          <w:color w:val="2E74B5" w:themeColor="accent1" w:themeShade="BF"/>
          <w:sz w:val="24"/>
          <w:szCs w:val="24"/>
        </w:rPr>
        <w:t>. Ing. Lina Astrid Carvajal Prieto.</w:t>
      </w:r>
    </w:p>
    <w:p w14:paraId="3F0E6597" w14:textId="77777777" w:rsidR="00653A61" w:rsidRDefault="00563720">
      <w:pPr>
        <w:rPr>
          <w:rFonts w:ascii="Arial" w:hAnsi="Arial" w:cs="Arial"/>
          <w:b/>
          <w:sz w:val="24"/>
          <w:szCs w:val="24"/>
        </w:rPr>
      </w:pPr>
      <w:r>
        <w:rPr>
          <w:rFonts w:ascii="Arial" w:hAnsi="Arial" w:cs="Arial"/>
          <w:b/>
          <w:bCs/>
          <w:color w:val="2E74B5" w:themeColor="accent1" w:themeShade="BF"/>
          <w:sz w:val="24"/>
          <w:szCs w:val="24"/>
        </w:rPr>
        <w:t>Junio 2026</w:t>
      </w:r>
      <w:r>
        <w:rPr>
          <w:rFonts w:ascii="Arial" w:hAnsi="Arial" w:cs="Arial"/>
          <w:b/>
          <w:sz w:val="24"/>
          <w:szCs w:val="24"/>
        </w:rPr>
        <w:br/>
      </w:r>
    </w:p>
    <w:p w14:paraId="265C24BA" w14:textId="77777777" w:rsidR="00653A61" w:rsidRDefault="00563720">
      <w:pPr>
        <w:rPr>
          <w:rFonts w:ascii="Arial" w:hAnsi="Arial" w:cs="Arial"/>
          <w:b/>
          <w:color w:val="2E74B5" w:themeColor="accent1" w:themeShade="BF"/>
          <w:sz w:val="24"/>
          <w:szCs w:val="24"/>
        </w:rPr>
      </w:pPr>
      <w:r>
        <w:rPr>
          <w:rFonts w:ascii="Arial" w:hAnsi="Arial" w:cs="Arial"/>
          <w:b/>
          <w:sz w:val="24"/>
          <w:szCs w:val="24"/>
        </w:rPr>
        <w:t>____________</w:t>
      </w:r>
    </w:p>
    <w:p w14:paraId="37F9C95D" w14:textId="77777777" w:rsidR="00653A61" w:rsidRDefault="00653A61">
      <w:pPr>
        <w:spacing w:line="240" w:lineRule="auto"/>
        <w:rPr>
          <w:rFonts w:ascii="Arial" w:hAnsi="Arial" w:cs="Arial"/>
          <w:b/>
          <w:color w:val="2E74B5" w:themeColor="accent1" w:themeShade="BF"/>
          <w:sz w:val="24"/>
          <w:szCs w:val="24"/>
        </w:rPr>
      </w:pPr>
    </w:p>
    <w:p w14:paraId="04AECDCE" w14:textId="77777777" w:rsidR="00653A61" w:rsidRDefault="00563720">
      <w:pPr>
        <w:spacing w:line="240" w:lineRule="auto"/>
        <w:rPr>
          <w:rFonts w:ascii="Arial" w:hAnsi="Arial" w:cs="Arial"/>
          <w:b/>
          <w:color w:val="2E74B5" w:themeColor="accent1" w:themeShade="BF"/>
          <w:sz w:val="24"/>
          <w:szCs w:val="24"/>
        </w:rPr>
      </w:pPr>
      <w:r>
        <w:rPr>
          <w:rFonts w:ascii="Arial" w:hAnsi="Arial" w:cs="Arial"/>
          <w:b/>
          <w:color w:val="2E74B5" w:themeColor="accent1" w:themeShade="BF"/>
          <w:sz w:val="24"/>
          <w:szCs w:val="24"/>
        </w:rPr>
        <w:t xml:space="preserve">Resumen </w:t>
      </w:r>
    </w:p>
    <w:p w14:paraId="411A0338" w14:textId="77777777" w:rsidR="00653A61" w:rsidRDefault="00653A61">
      <w:pPr>
        <w:spacing w:line="240" w:lineRule="auto"/>
        <w:jc w:val="both"/>
        <w:rPr>
          <w:rFonts w:ascii="Arial" w:hAnsi="Arial" w:cs="Arial"/>
          <w:bCs/>
          <w:color w:val="2E74B5" w:themeColor="accent1" w:themeShade="BF"/>
          <w:sz w:val="24"/>
          <w:szCs w:val="24"/>
        </w:rPr>
      </w:pPr>
    </w:p>
    <w:p w14:paraId="1DFA5BB4" w14:textId="77777777" w:rsidR="00653A61" w:rsidRDefault="00563720">
      <w:pPr>
        <w:spacing w:line="240" w:lineRule="auto"/>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La presente investigación analiza la relación entre las respuestas emocionales vinculadas a la experiencia digital en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el comportamiento de compra de los jóvenes bogotanos y su derivación en la preferencia por marcas locales de moda. El estudio se sitúa en el contexto actual del crecimiento de plataformas digitales y su impacto en las dinámicas de consumo juvenil. La investigación se realizó bajo un enfoque cuantitativo, con diseño no experimental, corte transeccional y alcance correlacional. La información fue recolectada mediante un cuestionario estructurado aplicado a jóvenes bogotanos entre 18 y 28 años con experiencia de compra en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La muestra final estuvo conformada por 370 registros válidos inicialmente; en algunos análisis, SPSS trabajó con 369 casos completos.</w:t>
      </w:r>
    </w:p>
    <w:p w14:paraId="289CD27F" w14:textId="77777777" w:rsidR="00653A61" w:rsidRDefault="00653A61">
      <w:pPr>
        <w:spacing w:line="240" w:lineRule="auto"/>
        <w:jc w:val="both"/>
        <w:rPr>
          <w:rFonts w:ascii="Arial" w:hAnsi="Arial" w:cs="Arial"/>
          <w:bCs/>
          <w:color w:val="2E74B5" w:themeColor="accent1" w:themeShade="BF"/>
          <w:sz w:val="24"/>
          <w:szCs w:val="24"/>
        </w:rPr>
      </w:pPr>
    </w:p>
    <w:p w14:paraId="23441E44" w14:textId="77777777" w:rsidR="00653A61" w:rsidRDefault="00563720">
      <w:pPr>
        <w:spacing w:line="240" w:lineRule="auto"/>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Los resultados evidenciaron una alta consistencia interna del instrumento (Alfa de Cronbach = 0,967, se verificó la pertinencia conceptual de los ítems para evitar redundancia). Y mostró una alta interrelación entre las dimensiones emocionales, experienciales y conductuales evaluadas. Asimismo, los hallazgos sugieren asociaciones entre las respuestas emocionales vinculadas a la experiencia digital, el comportamiento de compra y una menor preferencia relativa hacia marcas locales de moda. La investigación aporta evidencia sobre la relación entre marketing emocional, consumo digital y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en jóvenes consumidores dentro del contexto bogotano.</w:t>
      </w:r>
    </w:p>
    <w:p w14:paraId="0749DF2A" w14:textId="77777777" w:rsidR="00653A61" w:rsidRDefault="00653A61">
      <w:pPr>
        <w:spacing w:line="240" w:lineRule="auto"/>
        <w:jc w:val="both"/>
        <w:rPr>
          <w:rFonts w:ascii="Arial" w:hAnsi="Arial" w:cs="Arial"/>
          <w:bCs/>
          <w:color w:val="2E74B5" w:themeColor="accent1" w:themeShade="BF"/>
          <w:sz w:val="24"/>
          <w:szCs w:val="24"/>
        </w:rPr>
      </w:pPr>
    </w:p>
    <w:p w14:paraId="3802F42C" w14:textId="77777777" w:rsidR="00653A61" w:rsidRDefault="00563720">
      <w:pPr>
        <w:spacing w:line="240" w:lineRule="auto"/>
        <w:jc w:val="both"/>
        <w:rPr>
          <w:rFonts w:ascii="Arial" w:hAnsi="Arial" w:cs="Arial"/>
          <w:bCs/>
          <w:color w:val="2E74B5" w:themeColor="accent1" w:themeShade="BF"/>
          <w:sz w:val="24"/>
          <w:szCs w:val="24"/>
        </w:rPr>
      </w:pPr>
      <w:r>
        <w:rPr>
          <w:rFonts w:ascii="Arial" w:hAnsi="Arial" w:cs="Arial"/>
          <w:b/>
          <w:color w:val="2E74B5" w:themeColor="accent1" w:themeShade="BF"/>
          <w:sz w:val="24"/>
          <w:szCs w:val="24"/>
        </w:rPr>
        <w:t>Palabras clave</w:t>
      </w:r>
      <w:r>
        <w:rPr>
          <w:rFonts w:ascii="Arial" w:hAnsi="Arial" w:cs="Arial"/>
          <w:b/>
          <w:sz w:val="24"/>
          <w:szCs w:val="24"/>
        </w:rPr>
        <w:t>:</w:t>
      </w:r>
      <w:r>
        <w:rPr>
          <w:rFonts w:ascii="Arial" w:hAnsi="Arial" w:cs="Arial"/>
          <w:color w:val="70AD47" w:themeColor="accent6"/>
          <w:sz w:val="24"/>
          <w:szCs w:val="24"/>
        </w:rPr>
        <w:t xml:space="preserve"> </w:t>
      </w:r>
      <w:r>
        <w:rPr>
          <w:rFonts w:ascii="Arial" w:hAnsi="Arial" w:cs="Arial"/>
          <w:color w:val="2E74B5" w:themeColor="accent1" w:themeShade="BF"/>
          <w:sz w:val="24"/>
          <w:szCs w:val="24"/>
        </w:rPr>
        <w:t xml:space="preserve">Marketing emocional, </w:t>
      </w:r>
      <w:r>
        <w:rPr>
          <w:rFonts w:ascii="Arial" w:hAnsi="Arial" w:cs="Arial"/>
          <w:i/>
          <w:color w:val="2E74B5" w:themeColor="accent1" w:themeShade="BF"/>
          <w:sz w:val="24"/>
          <w:szCs w:val="24"/>
        </w:rPr>
        <w:t xml:space="preserve">Fast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Comportamiento de compra, Jóvenes consumidores.</w:t>
      </w:r>
    </w:p>
    <w:p w14:paraId="645E1260" w14:textId="77777777" w:rsidR="00653A61" w:rsidRDefault="00563720">
      <w:pPr>
        <w:spacing w:line="240" w:lineRule="auto"/>
        <w:jc w:val="both"/>
        <w:rPr>
          <w:rFonts w:ascii="Arial" w:hAnsi="Arial" w:cs="Arial"/>
          <w:bCs/>
          <w:color w:val="2E74B5" w:themeColor="accent1" w:themeShade="BF"/>
          <w:sz w:val="24"/>
          <w:szCs w:val="24"/>
        </w:rPr>
      </w:pPr>
      <w:r>
        <w:rPr>
          <w:rFonts w:ascii="Arial" w:hAnsi="Arial" w:cs="Arial"/>
          <w:b/>
          <w:color w:val="2E74B5" w:themeColor="accent1" w:themeShade="BF"/>
          <w:sz w:val="24"/>
          <w:szCs w:val="24"/>
          <w:lang w:val="en-US"/>
        </w:rPr>
        <w:lastRenderedPageBreak/>
        <w:t>Abstract</w:t>
      </w:r>
    </w:p>
    <w:p w14:paraId="07F3D747" w14:textId="77777777" w:rsidR="00653A61" w:rsidRDefault="00653A61">
      <w:pPr>
        <w:rPr>
          <w:rFonts w:ascii="Arial" w:hAnsi="Arial" w:cs="Arial"/>
          <w:b/>
          <w:color w:val="2E74B5" w:themeColor="accent1" w:themeShade="BF"/>
          <w:sz w:val="24"/>
          <w:szCs w:val="24"/>
          <w:lang w:val="en-US"/>
        </w:rPr>
      </w:pPr>
    </w:p>
    <w:p w14:paraId="30966F93" w14:textId="77777777" w:rsidR="00653A61" w:rsidRDefault="00563720">
      <w:pPr>
        <w:rPr>
          <w:rFonts w:ascii="Arial" w:hAnsi="Arial" w:cs="Arial"/>
          <w:bCs/>
          <w:color w:val="2E74B5" w:themeColor="accent1" w:themeShade="BF"/>
          <w:sz w:val="24"/>
          <w:szCs w:val="24"/>
          <w:lang w:val="en-US"/>
        </w:rPr>
      </w:pPr>
      <w:r>
        <w:rPr>
          <w:rFonts w:ascii="Arial" w:hAnsi="Arial" w:cs="Arial"/>
          <w:bCs/>
          <w:color w:val="2E74B5" w:themeColor="accent1" w:themeShade="BF"/>
          <w:sz w:val="24"/>
          <w:szCs w:val="24"/>
          <w:lang w:val="en-US"/>
        </w:rPr>
        <w:t xml:space="preserve">This research analyzes the relationship between emotional responses associated with the digital experience on </w:t>
      </w:r>
      <w:r>
        <w:rPr>
          <w:rFonts w:ascii="Arial" w:hAnsi="Arial" w:cs="Arial"/>
          <w:bCs/>
          <w:i/>
          <w:color w:val="2E74B5" w:themeColor="accent1" w:themeShade="BF"/>
          <w:sz w:val="24"/>
          <w:szCs w:val="24"/>
          <w:lang w:val="en-US"/>
        </w:rPr>
        <w:t>fast fashion</w:t>
      </w:r>
      <w:r>
        <w:rPr>
          <w:rFonts w:ascii="Arial" w:hAnsi="Arial" w:cs="Arial"/>
          <w:bCs/>
          <w:color w:val="2E74B5" w:themeColor="accent1" w:themeShade="BF"/>
          <w:sz w:val="24"/>
          <w:szCs w:val="24"/>
          <w:lang w:val="en-US"/>
        </w:rPr>
        <w:t xml:space="preserve"> platforms, the purchasing behavior of young people in Bogotá, and its effect on their preference for local fashion brands. The study is conducted within the context of the growth of digital platforms and their impact on youth consumption dynamics. The research adopted a quantitative approach, with a </w:t>
      </w:r>
      <w:proofErr w:type="spellStart"/>
      <w:proofErr w:type="gramStart"/>
      <w:r>
        <w:rPr>
          <w:rFonts w:ascii="Arial" w:hAnsi="Arial" w:cs="Arial"/>
          <w:bCs/>
          <w:color w:val="2E74B5" w:themeColor="accent1" w:themeShade="BF"/>
          <w:sz w:val="24"/>
          <w:szCs w:val="24"/>
          <w:lang w:val="en-US"/>
        </w:rPr>
        <w:t>non experimental</w:t>
      </w:r>
      <w:proofErr w:type="spellEnd"/>
      <w:proofErr w:type="gramEnd"/>
      <w:r>
        <w:rPr>
          <w:rFonts w:ascii="Arial" w:hAnsi="Arial" w:cs="Arial"/>
          <w:bCs/>
          <w:color w:val="2E74B5" w:themeColor="accent1" w:themeShade="BF"/>
          <w:sz w:val="24"/>
          <w:szCs w:val="24"/>
          <w:lang w:val="en-US"/>
        </w:rPr>
        <w:t xml:space="preserve">, cross sectional, and correlational design. Data were collected through a structured questionnaire administered to young people in Bogotá aged 18 to 28 who had experience purchasing from </w:t>
      </w:r>
      <w:r>
        <w:rPr>
          <w:rFonts w:ascii="Arial" w:hAnsi="Arial" w:cs="Arial"/>
          <w:bCs/>
          <w:i/>
          <w:color w:val="2E74B5" w:themeColor="accent1" w:themeShade="BF"/>
          <w:sz w:val="24"/>
          <w:szCs w:val="24"/>
          <w:lang w:val="en-US"/>
        </w:rPr>
        <w:t>fast fashion</w:t>
      </w:r>
      <w:r>
        <w:rPr>
          <w:rFonts w:ascii="Arial" w:hAnsi="Arial" w:cs="Arial"/>
          <w:bCs/>
          <w:color w:val="2E74B5" w:themeColor="accent1" w:themeShade="BF"/>
          <w:sz w:val="24"/>
          <w:szCs w:val="24"/>
          <w:lang w:val="en-US"/>
        </w:rPr>
        <w:t xml:space="preserve"> platforms. At first, the final sample consisted of 370 valid responses, nevertheless, some analyses, SPSS </w:t>
      </w:r>
      <w:proofErr w:type="spellStart"/>
      <w:r>
        <w:rPr>
          <w:rFonts w:ascii="Arial" w:hAnsi="Arial" w:cs="Arial"/>
          <w:bCs/>
          <w:color w:val="2E74B5" w:themeColor="accent1" w:themeShade="BF"/>
          <w:sz w:val="24"/>
          <w:szCs w:val="24"/>
          <w:lang w:val="en-US"/>
        </w:rPr>
        <w:t>analized</w:t>
      </w:r>
      <w:proofErr w:type="spellEnd"/>
      <w:r>
        <w:rPr>
          <w:rFonts w:ascii="Arial" w:hAnsi="Arial" w:cs="Arial"/>
          <w:bCs/>
          <w:color w:val="2E74B5" w:themeColor="accent1" w:themeShade="BF"/>
          <w:sz w:val="24"/>
          <w:szCs w:val="24"/>
          <w:lang w:val="en-US"/>
        </w:rPr>
        <w:t xml:space="preserve"> 369 complete cases.</w:t>
      </w:r>
    </w:p>
    <w:p w14:paraId="16431766" w14:textId="77777777" w:rsidR="00653A61" w:rsidRDefault="00653A61">
      <w:pPr>
        <w:rPr>
          <w:rFonts w:ascii="Arial" w:hAnsi="Arial" w:cs="Arial"/>
          <w:bCs/>
          <w:color w:val="2E74B5" w:themeColor="accent1" w:themeShade="BF"/>
          <w:sz w:val="24"/>
          <w:szCs w:val="24"/>
          <w:lang w:val="en-US"/>
        </w:rPr>
      </w:pPr>
    </w:p>
    <w:p w14:paraId="26E551FD" w14:textId="77777777" w:rsidR="00653A61" w:rsidRDefault="00563720">
      <w:pPr>
        <w:rPr>
          <w:rFonts w:ascii="Arial" w:hAnsi="Arial" w:cs="Arial"/>
          <w:bCs/>
          <w:color w:val="2E74B5" w:themeColor="accent1" w:themeShade="BF"/>
          <w:sz w:val="24"/>
          <w:szCs w:val="24"/>
          <w:lang w:val="en-US"/>
        </w:rPr>
      </w:pPr>
      <w:r>
        <w:rPr>
          <w:rFonts w:ascii="Arial" w:hAnsi="Arial" w:cs="Arial"/>
          <w:bCs/>
          <w:color w:val="2E74B5" w:themeColor="accent1" w:themeShade="BF"/>
          <w:sz w:val="24"/>
          <w:szCs w:val="24"/>
          <w:lang w:val="en-US"/>
        </w:rPr>
        <w:t xml:space="preserve">The results revealed high internal consistency of the instrument (Cronbach’s Alpha = 0.967; the conceptual relevance of the items was verified to avoid redundancy) and a strong interrelationship among the emotional, experiential, and behavioral dimensions evaluated. Furthermore, the findings suggest associations between emotional responses linked to the digital experience, purchasing behavior, and a relatively lower preference for local fashion brands. This study provides evidence on the relationship between emotional marketing, digital consumption, and </w:t>
      </w:r>
      <w:r>
        <w:rPr>
          <w:rFonts w:ascii="Arial" w:hAnsi="Arial" w:cs="Arial"/>
          <w:bCs/>
          <w:i/>
          <w:color w:val="2E74B5" w:themeColor="accent1" w:themeShade="BF"/>
          <w:sz w:val="24"/>
          <w:szCs w:val="24"/>
          <w:lang w:val="en-US"/>
        </w:rPr>
        <w:t>fast fashion</w:t>
      </w:r>
      <w:r>
        <w:rPr>
          <w:rFonts w:ascii="Arial" w:hAnsi="Arial" w:cs="Arial"/>
          <w:bCs/>
          <w:color w:val="2E74B5" w:themeColor="accent1" w:themeShade="BF"/>
          <w:sz w:val="24"/>
          <w:szCs w:val="24"/>
          <w:lang w:val="en-US"/>
        </w:rPr>
        <w:t xml:space="preserve"> among young consumers in the context of Bogotá.</w:t>
      </w:r>
    </w:p>
    <w:p w14:paraId="468717A6" w14:textId="77777777" w:rsidR="00653A61" w:rsidRDefault="00653A61">
      <w:pPr>
        <w:jc w:val="both"/>
        <w:rPr>
          <w:rFonts w:ascii="Arial" w:hAnsi="Arial" w:cs="Arial"/>
          <w:b/>
          <w:color w:val="2E74B5" w:themeColor="accent1" w:themeShade="BF"/>
          <w:sz w:val="24"/>
          <w:szCs w:val="24"/>
          <w:lang w:val="en-US"/>
        </w:rPr>
      </w:pPr>
    </w:p>
    <w:p w14:paraId="47A312BF" w14:textId="77777777" w:rsidR="00653A61" w:rsidRDefault="00563720">
      <w:pPr>
        <w:jc w:val="both"/>
        <w:rPr>
          <w:rFonts w:ascii="Arial" w:hAnsi="Arial" w:cs="Arial"/>
          <w:bCs/>
          <w:color w:val="2E74B5" w:themeColor="accent1" w:themeShade="BF"/>
          <w:sz w:val="24"/>
          <w:szCs w:val="24"/>
        </w:rPr>
      </w:pPr>
      <w:r>
        <w:rPr>
          <w:rFonts w:ascii="Arial" w:hAnsi="Arial" w:cs="Arial"/>
          <w:b/>
          <w:color w:val="2E74B5" w:themeColor="accent1" w:themeShade="BF"/>
          <w:sz w:val="24"/>
          <w:szCs w:val="24"/>
          <w:lang w:val="en-US"/>
        </w:rPr>
        <w:t xml:space="preserve">Key words: </w:t>
      </w:r>
      <w:r>
        <w:rPr>
          <w:rFonts w:ascii="Arial" w:hAnsi="Arial" w:cs="Arial"/>
          <w:bCs/>
          <w:color w:val="2E74B5" w:themeColor="accent1" w:themeShade="BF"/>
          <w:sz w:val="24"/>
          <w:szCs w:val="24"/>
          <w:lang w:val="en-US"/>
        </w:rPr>
        <w:t xml:space="preserve">Emotional marketing, </w:t>
      </w:r>
      <w:r>
        <w:rPr>
          <w:rFonts w:ascii="Arial" w:hAnsi="Arial" w:cs="Arial"/>
          <w:bCs/>
          <w:i/>
          <w:color w:val="2E74B5" w:themeColor="accent1" w:themeShade="BF"/>
          <w:sz w:val="24"/>
          <w:szCs w:val="24"/>
          <w:lang w:val="en-US"/>
        </w:rPr>
        <w:t>Fast fashion</w:t>
      </w:r>
      <w:r>
        <w:rPr>
          <w:rFonts w:ascii="Arial" w:hAnsi="Arial" w:cs="Arial"/>
          <w:bCs/>
          <w:color w:val="2E74B5" w:themeColor="accent1" w:themeShade="BF"/>
          <w:sz w:val="24"/>
          <w:szCs w:val="24"/>
          <w:lang w:val="en-US"/>
        </w:rPr>
        <w:t xml:space="preserve">, Consumer behavior, </w:t>
      </w:r>
      <w:proofErr w:type="gramStart"/>
      <w:r>
        <w:rPr>
          <w:rFonts w:ascii="Arial" w:hAnsi="Arial" w:cs="Arial"/>
          <w:bCs/>
          <w:color w:val="2E74B5" w:themeColor="accent1" w:themeShade="BF"/>
          <w:sz w:val="24"/>
          <w:szCs w:val="24"/>
          <w:lang w:val="en-US"/>
        </w:rPr>
        <w:t>Young</w:t>
      </w:r>
      <w:proofErr w:type="gramEnd"/>
      <w:r>
        <w:rPr>
          <w:rFonts w:ascii="Arial" w:hAnsi="Arial" w:cs="Arial"/>
          <w:bCs/>
          <w:color w:val="2E74B5" w:themeColor="accent1" w:themeShade="BF"/>
          <w:sz w:val="24"/>
          <w:szCs w:val="24"/>
          <w:lang w:val="en-US"/>
        </w:rPr>
        <w:t xml:space="preserve"> consumers.</w:t>
      </w:r>
    </w:p>
    <w:p w14:paraId="56130240" w14:textId="77777777" w:rsidR="00653A61" w:rsidRDefault="00563720">
      <w:pPr>
        <w:spacing w:line="240" w:lineRule="auto"/>
        <w:rPr>
          <w:rFonts w:ascii="Arial" w:hAnsi="Arial" w:cs="Arial"/>
          <w:b/>
          <w:sz w:val="24"/>
          <w:szCs w:val="24"/>
        </w:rPr>
      </w:pPr>
      <w:r>
        <w:rPr>
          <w:rFonts w:ascii="Arial" w:hAnsi="Arial" w:cs="Arial"/>
          <w:b/>
          <w:sz w:val="24"/>
          <w:szCs w:val="24"/>
        </w:rPr>
        <w:t>____________</w:t>
      </w:r>
    </w:p>
    <w:p w14:paraId="324A3B6D" w14:textId="77777777" w:rsidR="00653A61" w:rsidRDefault="00563720">
      <w:pPr>
        <w:rPr>
          <w:rFonts w:ascii="Arial" w:hAnsi="Arial" w:cs="Arial"/>
          <w:color w:val="70AD47" w:themeColor="accent6"/>
          <w:sz w:val="24"/>
          <w:szCs w:val="24"/>
        </w:rPr>
      </w:pPr>
      <w:r>
        <w:rPr>
          <w:rFonts w:ascii="Arial" w:hAnsi="Arial" w:cs="Arial"/>
          <w:color w:val="70AD47" w:themeColor="accent6"/>
          <w:sz w:val="24"/>
          <w:szCs w:val="24"/>
        </w:rPr>
        <w:br/>
      </w:r>
      <w:r>
        <w:rPr>
          <w:rFonts w:ascii="Arial" w:hAnsi="Arial" w:cs="Arial"/>
          <w:b/>
          <w:color w:val="2E74B5" w:themeColor="accent1" w:themeShade="BF"/>
          <w:sz w:val="24"/>
          <w:szCs w:val="24"/>
        </w:rPr>
        <w:t>INTRODUCCIÓN</w:t>
      </w:r>
    </w:p>
    <w:p w14:paraId="64D686D5" w14:textId="77777777" w:rsidR="00653A61" w:rsidRDefault="00653A61">
      <w:pPr>
        <w:jc w:val="both"/>
        <w:rPr>
          <w:rFonts w:ascii="Arial" w:hAnsi="Arial" w:cs="Arial"/>
          <w:color w:val="2E74B5" w:themeColor="accent1" w:themeShade="BF"/>
          <w:sz w:val="24"/>
          <w:szCs w:val="24"/>
        </w:rPr>
      </w:pPr>
    </w:p>
    <w:p w14:paraId="14FF891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Actualmente, diferentes investigaciones señalan que los jóvenes tienen mayor preferencia por consumir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r>
        <w:t xml:space="preserve"> </w:t>
      </w:r>
      <w:r>
        <w:rPr>
          <w:rFonts w:ascii="Arial" w:hAnsi="Arial" w:cs="Arial"/>
          <w:color w:val="2E74B5" w:themeColor="accent1" w:themeShade="BF"/>
          <w:sz w:val="24"/>
          <w:szCs w:val="24"/>
        </w:rPr>
        <w:t xml:space="preserve">(Hidalgo Torres, 2024; Liu, 2022; Mullo et al., 2025; Tan, 2024; Valverde et al., 2023; Weber &amp; Ritch, </w:t>
      </w:r>
      <w:proofErr w:type="spellStart"/>
      <w:r>
        <w:rPr>
          <w:rFonts w:ascii="Arial" w:hAnsi="Arial" w:cs="Arial"/>
          <w:color w:val="2E74B5" w:themeColor="accent1" w:themeShade="BF"/>
          <w:sz w:val="24"/>
          <w:szCs w:val="24"/>
        </w:rPr>
        <w:t>n.d</w:t>
      </w:r>
      <w:proofErr w:type="spellEnd"/>
      <w:r>
        <w:rPr>
          <w:rFonts w:ascii="Arial" w:hAnsi="Arial" w:cs="Arial"/>
          <w:color w:val="2E74B5" w:themeColor="accent1" w:themeShade="BF"/>
          <w:sz w:val="24"/>
          <w:szCs w:val="24"/>
        </w:rPr>
        <w:t>.). Esto podría estar relacionado potencialmente con el vínculo que se establece como ventaja competitiva en el entorno digital, a partir de la conexión que se produce por medio del marketing emocional, que asocia determinadas respuestas emocionales con la decisión de compra y posiblemente, en consecuencia, potencia la preferencia por consumir en este tipo de plataformas.</w:t>
      </w:r>
    </w:p>
    <w:p w14:paraId="2A3B574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En esta línea se observa que las emociones se relacionan directamente con las elecciones de consumo de los jóvenes, ya que asocian su comportamiento al momento de comprar (Mullo et al., 2025). Considerando lo anterior, este fenómeno podría afectar la percepción de los jóvenes hacia las marcas de moda locales y representar una amenaza para emprendimientos y marcas de moda nacionales que no disponen de estrategias similares o que no han logrado establecer este mismo tipo de vínculo emocional, que actualmente pueden estar manteniendo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con este grupo etario.</w:t>
      </w:r>
    </w:p>
    <w:p w14:paraId="418F23EB" w14:textId="77777777" w:rsidR="00653A61" w:rsidRDefault="00653A61">
      <w:pPr>
        <w:jc w:val="both"/>
        <w:rPr>
          <w:rFonts w:ascii="Arial" w:hAnsi="Arial" w:cs="Arial"/>
          <w:color w:val="2E74B5" w:themeColor="accent1" w:themeShade="BF"/>
          <w:sz w:val="24"/>
          <w:szCs w:val="24"/>
        </w:rPr>
      </w:pPr>
    </w:p>
    <w:p w14:paraId="2B61B6E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De acuerdo con la publicación hecha por la revista Forbes Colombia, en el 2025 la llegada de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y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ha generado una preocupación en los comerciantes de diversos sectores debido a que estas podrían llegar a poner en riesgo sus negocios. En 2024 estas plataformas iniciaron sus operaciones en Colombia. Han aprendido a moldear las emociones de sus clientes utilizando estímulos diseñados para impulsar decisiones rápidas mediante ofertas con sensación de urgencia, colores intensos, elementos visuales atractivos y efectos sonoros, consiguiendo motivar a los usuarios a actuar de inmediato (</w:t>
      </w:r>
      <w:r>
        <w:rPr>
          <w:rFonts w:ascii="Arial" w:eastAsia="Times New Roman" w:hAnsi="Arial" w:cs="Arial"/>
          <w:color w:val="2E74B5" w:themeColor="accent1" w:themeShade="BF"/>
          <w:sz w:val="24"/>
          <w:lang w:val="en-US"/>
        </w:rPr>
        <w:t>Tan, Y. 2024</w:t>
      </w:r>
      <w:r>
        <w:rPr>
          <w:rFonts w:ascii="Arial" w:hAnsi="Arial" w:cs="Arial"/>
          <w:color w:val="2E74B5" w:themeColor="accent1" w:themeShade="BF"/>
          <w:sz w:val="24"/>
          <w:szCs w:val="24"/>
        </w:rPr>
        <w:t>).</w:t>
      </w:r>
    </w:p>
    <w:p w14:paraId="5EB28F29" w14:textId="77777777" w:rsidR="00653A61" w:rsidRDefault="00653A61">
      <w:pPr>
        <w:jc w:val="both"/>
        <w:rPr>
          <w:rFonts w:ascii="Arial" w:hAnsi="Arial" w:cs="Arial"/>
          <w:color w:val="2E74B5" w:themeColor="accent1" w:themeShade="BF"/>
          <w:sz w:val="24"/>
          <w:szCs w:val="24"/>
        </w:rPr>
      </w:pPr>
    </w:p>
    <w:p w14:paraId="032B108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la entrevista Mauricio Alarcón, gerente del Centro Comercial Gran San en San Victorino, en el centro de Bogotá, manifestó que, “el auge de estas plataformas ha llevado a una disminución de ventas en las tiendas físicas y que es necesario buscar estrategias para incentivar a los consumidores a comprar productos locales, como campañas de promoción y apoyo a emprendimientos locales” (Bernal-Durán, 2025).</w:t>
      </w:r>
    </w:p>
    <w:p w14:paraId="2625F5D1" w14:textId="77777777" w:rsidR="00653A61" w:rsidRDefault="00653A61">
      <w:pPr>
        <w:jc w:val="both"/>
        <w:rPr>
          <w:rFonts w:ascii="Arial" w:hAnsi="Arial" w:cs="Arial"/>
          <w:color w:val="2E74B5" w:themeColor="accent1" w:themeShade="BF"/>
          <w:sz w:val="24"/>
          <w:szCs w:val="24"/>
        </w:rPr>
      </w:pPr>
    </w:p>
    <w:p w14:paraId="1954268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publicación de Portafolio (Lorduy, 2025) señala que, el crecimiento acelerado de las importaciones textiles, que entre enero y junio de 2025 aumentaron un 15,2%, según el informe de </w:t>
      </w:r>
      <w:proofErr w:type="spellStart"/>
      <w:r>
        <w:rPr>
          <w:rFonts w:ascii="Arial" w:hAnsi="Arial" w:cs="Arial"/>
          <w:color w:val="2E74B5" w:themeColor="accent1" w:themeShade="BF"/>
          <w:sz w:val="24"/>
          <w:szCs w:val="24"/>
        </w:rPr>
        <w:t>Inexmoda</w:t>
      </w:r>
      <w:proofErr w:type="spellEnd"/>
      <w:r>
        <w:rPr>
          <w:rFonts w:ascii="Arial" w:hAnsi="Arial" w:cs="Arial"/>
          <w:color w:val="2E74B5" w:themeColor="accent1" w:themeShade="BF"/>
          <w:sz w:val="24"/>
          <w:szCs w:val="24"/>
        </w:rPr>
        <w:t xml:space="preserve">, es el resultado de cómo la digitalización del comercio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está transformando el mercado textil colombiano. Plataformas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y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redefinen las decisiones de compra al aplicar estrategias de marketing basadas en precios bajos, disponibilidad y catálogos que se renuevan constantemente. Esta experiencia digital no solo impulsa al consumidor a actuar, sino que también se convierte en un factor determinante para la competitividad del sector, al generar emociones asociadas con la novedad y la inmediatez.</w:t>
      </w:r>
      <w:r>
        <w:t xml:space="preserve"> </w:t>
      </w:r>
      <w:r>
        <w:rPr>
          <w:rFonts w:ascii="Arial" w:hAnsi="Arial" w:cs="Arial"/>
          <w:color w:val="2E74B5" w:themeColor="accent1" w:themeShade="BF"/>
          <w:sz w:val="24"/>
          <w:szCs w:val="24"/>
        </w:rPr>
        <w:t>(Lorduy, 2025).</w:t>
      </w:r>
    </w:p>
    <w:p w14:paraId="4C57AE9D" w14:textId="77777777" w:rsidR="00653A61" w:rsidRDefault="00653A61">
      <w:pPr>
        <w:jc w:val="both"/>
        <w:rPr>
          <w:rFonts w:ascii="Arial" w:hAnsi="Arial" w:cs="Arial"/>
          <w:color w:val="2E74B5" w:themeColor="accent1" w:themeShade="BF"/>
          <w:sz w:val="24"/>
          <w:szCs w:val="24"/>
        </w:rPr>
      </w:pPr>
    </w:p>
    <w:p w14:paraId="5AD28A2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concordancia con lo expuesto antes, estas plataformas, podrían estar relacionadas con una reducción en la intención de compra de marcas locales y </w:t>
      </w:r>
      <w:r>
        <w:rPr>
          <w:rFonts w:ascii="Arial" w:hAnsi="Arial" w:cs="Arial"/>
          <w:color w:val="2E74B5" w:themeColor="accent1" w:themeShade="BF"/>
          <w:sz w:val="24"/>
          <w:szCs w:val="24"/>
        </w:rPr>
        <w:lastRenderedPageBreak/>
        <w:t>creando un ciclo de consumo acelerado especialmente en los jóvenes, influenciado posiblemente por estrategias de marketing emocional, que a lo mejor han logrado despertar en ellos, pertenencia, identidad y satisfacción inmediata. ENTIC Hogares 2024 (DANE, 2024), afirma que entre las personas que hicieron compras de productos o servicios por internet, el 84,7% ordenó ropa, zapatos o accesorios; aunque no se especifica el portal de origen si se indica que es la categoría de más alto consumo.</w:t>
      </w:r>
    </w:p>
    <w:p w14:paraId="5A0A3708" w14:textId="77777777" w:rsidR="00653A61" w:rsidRDefault="00653A61">
      <w:pPr>
        <w:jc w:val="both"/>
        <w:rPr>
          <w:rFonts w:ascii="Arial" w:hAnsi="Arial" w:cs="Arial"/>
          <w:color w:val="2E74B5" w:themeColor="accent1" w:themeShade="BF"/>
          <w:sz w:val="24"/>
          <w:szCs w:val="24"/>
        </w:rPr>
      </w:pPr>
    </w:p>
    <w:p w14:paraId="54EE115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Este posible fenómeno en mercados emergentes como Colombia, y específicamente aplicado al segmento de jóvenes bogotanos, deben ser explorados, especialmente en cuanto a sus efectos sobre las marcas de </w:t>
      </w:r>
      <w:proofErr w:type="spellStart"/>
      <w:r>
        <w:rPr>
          <w:rFonts w:ascii="Arial" w:hAnsi="Arial" w:cs="Arial"/>
          <w:color w:val="2E74B5" w:themeColor="accent1" w:themeShade="BF"/>
          <w:sz w:val="24"/>
          <w:szCs w:val="24"/>
        </w:rPr>
        <w:t>retail</w:t>
      </w:r>
      <w:proofErr w:type="spellEnd"/>
      <w:r>
        <w:rPr>
          <w:rFonts w:ascii="Arial" w:hAnsi="Arial" w:cs="Arial"/>
          <w:color w:val="2E74B5" w:themeColor="accent1" w:themeShade="BF"/>
          <w:sz w:val="24"/>
          <w:szCs w:val="24"/>
        </w:rPr>
        <w:t xml:space="preserve"> de moda locales que en muchos casos podrían estar apuntando sus estrategias a la sostenibilidad y originalidad, limitando su alcance para competir con tendencias aceleradas y de bajo costo.</w:t>
      </w:r>
    </w:p>
    <w:p w14:paraId="4C1BEB81" w14:textId="77777777" w:rsidR="00653A61" w:rsidRDefault="00653A61">
      <w:pPr>
        <w:jc w:val="both"/>
        <w:rPr>
          <w:rFonts w:ascii="Arial" w:hAnsi="Arial" w:cs="Arial"/>
          <w:color w:val="2E74B5" w:themeColor="accent1" w:themeShade="BF"/>
          <w:sz w:val="24"/>
          <w:szCs w:val="24"/>
        </w:rPr>
      </w:pPr>
    </w:p>
    <w:p w14:paraId="662696D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objetivo general de esta investigación es analizar la relación entre las respuestas emocionales asociadas a la experiencia digital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en el contexto del uso e implementación de estrategias de marketing emocional, el comportamiento de compra de los jóvenes bogotanos y su impacto en la preferencia por marcas locales de moda. A partir de este objetivo, se definen los objetivos específicos de esta investigación:</w:t>
      </w:r>
    </w:p>
    <w:p w14:paraId="7175B448" w14:textId="77777777" w:rsidR="00653A61" w:rsidRDefault="00653A61">
      <w:pPr>
        <w:jc w:val="both"/>
        <w:rPr>
          <w:rFonts w:ascii="Arial" w:hAnsi="Arial" w:cs="Arial"/>
          <w:color w:val="2E74B5" w:themeColor="accent1" w:themeShade="BF"/>
          <w:sz w:val="24"/>
          <w:szCs w:val="24"/>
        </w:rPr>
      </w:pPr>
    </w:p>
    <w:p w14:paraId="4B9229DD" w14:textId="77777777" w:rsidR="00653A61" w:rsidRDefault="00563720">
      <w:pPr>
        <w:pStyle w:val="Prrafodelista"/>
        <w:numPr>
          <w:ilvl w:val="0"/>
          <w:numId w:val="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Caracterizar teóricamente los conceptos de marketing emocional y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así como el contexto de juventud en Colombia, a partir de una revisión de literatura especializada.</w:t>
      </w:r>
    </w:p>
    <w:p w14:paraId="415CD8EE" w14:textId="77777777" w:rsidR="00653A61" w:rsidRDefault="00653A61">
      <w:pPr>
        <w:pStyle w:val="Prrafodelista"/>
        <w:ind w:left="1070"/>
        <w:jc w:val="both"/>
        <w:rPr>
          <w:rFonts w:ascii="Arial" w:hAnsi="Arial" w:cs="Arial"/>
          <w:color w:val="2E74B5" w:themeColor="accent1" w:themeShade="BF"/>
          <w:sz w:val="24"/>
          <w:szCs w:val="24"/>
        </w:rPr>
      </w:pPr>
    </w:p>
    <w:p w14:paraId="21FAED8B" w14:textId="77777777" w:rsidR="00653A61" w:rsidRDefault="00563720">
      <w:pPr>
        <w:pStyle w:val="Prrafodelista"/>
        <w:numPr>
          <w:ilvl w:val="0"/>
          <w:numId w:val="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Estudiar de qué manera se relacionan las respuestas emocionales asociadas a la experiencia digital en plataformas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con el comportamiento de compra de los jóvenes bogotanos. </w:t>
      </w:r>
    </w:p>
    <w:p w14:paraId="3277A11F" w14:textId="77777777" w:rsidR="00653A61" w:rsidRDefault="00653A61">
      <w:pPr>
        <w:pStyle w:val="Prrafodelista"/>
        <w:rPr>
          <w:rFonts w:ascii="Arial" w:hAnsi="Arial" w:cs="Arial"/>
          <w:color w:val="2E74B5" w:themeColor="accent1" w:themeShade="BF"/>
          <w:sz w:val="24"/>
          <w:szCs w:val="24"/>
        </w:rPr>
      </w:pPr>
    </w:p>
    <w:p w14:paraId="326D01DF" w14:textId="77777777" w:rsidR="00653A61" w:rsidRDefault="00653A61">
      <w:pPr>
        <w:pStyle w:val="Prrafodelista"/>
        <w:ind w:left="1070"/>
        <w:jc w:val="both"/>
        <w:rPr>
          <w:rFonts w:ascii="Arial" w:hAnsi="Arial" w:cs="Arial"/>
          <w:color w:val="2E74B5" w:themeColor="accent1" w:themeShade="BF"/>
          <w:sz w:val="24"/>
          <w:szCs w:val="24"/>
        </w:rPr>
      </w:pPr>
    </w:p>
    <w:p w14:paraId="1AED9929" w14:textId="77777777" w:rsidR="00653A61" w:rsidRDefault="00563720">
      <w:pPr>
        <w:pStyle w:val="Prrafodelista"/>
        <w:numPr>
          <w:ilvl w:val="0"/>
          <w:numId w:val="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Examinar la relación existente entre el comportamiento de compra de los jóvenes bogotanos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la preferencia por marcas locales de moda.</w:t>
      </w:r>
    </w:p>
    <w:p w14:paraId="281988DF" w14:textId="77777777" w:rsidR="00653A61" w:rsidRDefault="00653A61">
      <w:pPr>
        <w:pStyle w:val="Prrafodelista"/>
        <w:rPr>
          <w:rFonts w:ascii="Arial" w:hAnsi="Arial" w:cs="Arial"/>
          <w:color w:val="2E74B5" w:themeColor="accent1" w:themeShade="BF"/>
          <w:sz w:val="24"/>
          <w:szCs w:val="24"/>
        </w:rPr>
      </w:pPr>
    </w:p>
    <w:p w14:paraId="76A497B8" w14:textId="77777777" w:rsidR="00653A61" w:rsidRDefault="00653A61">
      <w:pPr>
        <w:pStyle w:val="Prrafodelista"/>
        <w:rPr>
          <w:rFonts w:ascii="Arial" w:hAnsi="Arial" w:cs="Arial"/>
          <w:color w:val="2E74B5" w:themeColor="accent1" w:themeShade="BF"/>
          <w:sz w:val="24"/>
          <w:szCs w:val="24"/>
        </w:rPr>
      </w:pPr>
    </w:p>
    <w:p w14:paraId="235D5D57" w14:textId="77777777" w:rsidR="00653A61" w:rsidRDefault="00563720">
      <w:pPr>
        <w:pStyle w:val="Prrafodelista"/>
        <w:numPr>
          <w:ilvl w:val="0"/>
          <w:numId w:val="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Plantear recomendaciones estratégicas para el fortalecimiento de las marcas locales de moda a partir de los resultados obtenidos, sobre respuestas emocionales y comportamiento de compra.</w:t>
      </w:r>
    </w:p>
    <w:p w14:paraId="4FD290DF" w14:textId="77777777" w:rsidR="00653A61" w:rsidRDefault="00563720">
      <w:pPr>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Con el propósito de alcanzar los objetivos planteados, se realiza una revisión de literatura científica sobre marketing emocional,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juventud, lo que permite delimitar el marco teórico y conceptual de la investigación. A partir de esta revisión, se definen las variables de estudio y se formulan las hipótesis que serán contrastadas empíricamente.</w:t>
      </w:r>
    </w:p>
    <w:p w14:paraId="5C0C92AD" w14:textId="77777777" w:rsidR="00653A61" w:rsidRDefault="00653A61">
      <w:pPr>
        <w:rPr>
          <w:rFonts w:ascii="Arial" w:hAnsi="Arial" w:cs="Arial"/>
          <w:color w:val="2E74B5" w:themeColor="accent1" w:themeShade="BF"/>
          <w:sz w:val="24"/>
          <w:szCs w:val="24"/>
        </w:rPr>
      </w:pPr>
    </w:p>
    <w:p w14:paraId="6963E49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Posteriormente, se lleva a cabo una revisión de escalas existentes orientadas a la medición de las respuestas emocionales vinculadas a la experiencia digital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así como del comportamiento de compra y la preferencia por marcas locales de moda en jóvenes bogotanos. Mediante una investigación cuantitativa, con un diseño no experimental, de corte transeccional y alcance correlacional, dado que los datos se recolectarán en un único momento temporal y en un contexto específico.</w:t>
      </w:r>
    </w:p>
    <w:p w14:paraId="38465F36" w14:textId="77777777" w:rsidR="00653A61" w:rsidRDefault="00653A61">
      <w:pPr>
        <w:jc w:val="both"/>
        <w:rPr>
          <w:rFonts w:ascii="Arial" w:hAnsi="Arial" w:cs="Arial"/>
          <w:color w:val="2E74B5" w:themeColor="accent1" w:themeShade="BF"/>
          <w:sz w:val="24"/>
          <w:szCs w:val="24"/>
        </w:rPr>
      </w:pPr>
    </w:p>
    <w:p w14:paraId="7EBF5DF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importancia de esta investigación radica en tres razones. La primera, su aporte teórico, ya que contribuye al análisis del marketing emocional a través de un enfoque estratégico en el contexto de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todo esto contextualizado </w:t>
      </w:r>
      <w:proofErr w:type="gramStart"/>
      <w:r>
        <w:rPr>
          <w:rFonts w:ascii="Arial" w:hAnsi="Arial" w:cs="Arial"/>
          <w:color w:val="2E74B5" w:themeColor="accent1" w:themeShade="BF"/>
          <w:sz w:val="24"/>
          <w:szCs w:val="24"/>
        </w:rPr>
        <w:t>en  la</w:t>
      </w:r>
      <w:proofErr w:type="gramEnd"/>
      <w:r>
        <w:rPr>
          <w:rFonts w:ascii="Arial" w:hAnsi="Arial" w:cs="Arial"/>
          <w:color w:val="2E74B5" w:themeColor="accent1" w:themeShade="BF"/>
          <w:sz w:val="24"/>
          <w:szCs w:val="24"/>
        </w:rPr>
        <w:t xml:space="preserve"> actualidad urbana latinoamericana, un ámbito en el cual la relación entre plataformas digitales globales y marcas locales de moda aún se encuentra escasamente documentada. </w:t>
      </w:r>
    </w:p>
    <w:p w14:paraId="0E8524FA" w14:textId="77777777" w:rsidR="00653A61" w:rsidRDefault="00653A61">
      <w:pPr>
        <w:jc w:val="both"/>
        <w:rPr>
          <w:rFonts w:ascii="Arial" w:hAnsi="Arial" w:cs="Arial"/>
          <w:color w:val="2E74B5" w:themeColor="accent1" w:themeShade="BF"/>
          <w:sz w:val="24"/>
          <w:szCs w:val="24"/>
        </w:rPr>
      </w:pPr>
    </w:p>
    <w:p w14:paraId="24E846B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segundo lugar, por su relevancia estratégica, puesto que los resultados pueden ofrecer información útil para que las marcas locales de moda comprendan el impacto de las respuestas emocionales asociadas a la experiencia digital y el comportamiento de compra juvenil, favoreciendo el desarrollo de acciones competitivas en dicho entorno. Finalmente, la investigación es viable, debido a que se enfoca en jóvenes bogotanos entre 18 y 28 años, un grupo poblacional accesible mediante la aplicación de instrumentos de recolección de datos en formato digital.</w:t>
      </w:r>
    </w:p>
    <w:p w14:paraId="7DECACCB" w14:textId="77777777" w:rsidR="00653A61" w:rsidRDefault="00653A61">
      <w:pPr>
        <w:jc w:val="both"/>
        <w:rPr>
          <w:rFonts w:ascii="Arial" w:hAnsi="Arial" w:cs="Arial"/>
          <w:color w:val="2E74B5" w:themeColor="accent1" w:themeShade="BF"/>
          <w:sz w:val="24"/>
          <w:szCs w:val="24"/>
        </w:rPr>
      </w:pPr>
    </w:p>
    <w:p w14:paraId="7BADE64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estudio se organiza en cuatro apartados. Tomando como referencia el modelo establecido propuesto por (Hernández-Sampieri y Mendoza 2020) con algunas adaptaciones. En el primero se presenta una revisión de la literatura especializada sobre marketing emocional,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juventud, que permite sustentar el marco teórico y conceptual de la investigación. En el segundo apartado se describe el enfoque metodológico, incluyendo el diseño muestral, los criterios de inclusión y exclusión, los aspectos éticos, así como la definición de las variables y las hipótesis planteadas. De igual forma, se describe el instrumento de recolección de datos </w:t>
      </w:r>
      <w:r>
        <w:rPr>
          <w:rFonts w:ascii="Arial" w:hAnsi="Arial" w:cs="Arial"/>
          <w:color w:val="2E74B5" w:themeColor="accent1" w:themeShade="BF"/>
          <w:sz w:val="24"/>
          <w:szCs w:val="24"/>
        </w:rPr>
        <w:lastRenderedPageBreak/>
        <w:t>utilizado y los procedimientos implementados para garantizar su validez y confiabilidad, junto con el procesamiento y análisis de la información.</w:t>
      </w:r>
    </w:p>
    <w:p w14:paraId="5968E9DE" w14:textId="77777777" w:rsidR="00653A61" w:rsidRDefault="00653A61">
      <w:pPr>
        <w:jc w:val="both"/>
        <w:rPr>
          <w:rFonts w:ascii="Arial" w:hAnsi="Arial" w:cs="Arial"/>
          <w:color w:val="2E74B5" w:themeColor="accent1" w:themeShade="BF"/>
          <w:sz w:val="24"/>
          <w:szCs w:val="24"/>
        </w:rPr>
      </w:pPr>
    </w:p>
    <w:p w14:paraId="28E0D80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el tercer apartado se presentan los resultados obtenidos a partir de los análisis estadísticos realizados, incluyendo la descripción de la muestra, los estadísticos descriptivos y los procedimientos de validación y fiabilidad de las escalas empleadas para el análisis de las variables del estudio. Posteriormente, en el cuarto apartado se desarrolla la discusión y las conclusiones de la investigación, en las que se interpretan los hallazgos obtenidos a la luz de la literatura revisada.</w:t>
      </w:r>
    </w:p>
    <w:p w14:paraId="54CC00A5" w14:textId="77777777" w:rsidR="00653A61" w:rsidRDefault="00653A61">
      <w:pPr>
        <w:jc w:val="both"/>
        <w:rPr>
          <w:rFonts w:ascii="Arial" w:hAnsi="Arial" w:cs="Arial"/>
          <w:color w:val="2E74B5" w:themeColor="accent1" w:themeShade="BF"/>
          <w:sz w:val="24"/>
          <w:szCs w:val="24"/>
        </w:rPr>
      </w:pPr>
    </w:p>
    <w:p w14:paraId="3141A91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esta sección se examina el nivel de cumplimiento de los objetivos de la investigación, se identifican y reconocen las principales limitaciones metodológicas y se evalúa la pertinencia del enfoque adoptado. Asimismo, se presentan las conclusiones derivadas del análisis teórico y empírico y se proponen posibles líneas de investigación futura a partir de los resultados obtenidos. Finalmente, se incluyen anexos y las referencias correspondientes.</w:t>
      </w:r>
    </w:p>
    <w:p w14:paraId="3EFF8C9A" w14:textId="77777777" w:rsidR="00653A61" w:rsidRDefault="00653A61">
      <w:pPr>
        <w:jc w:val="both"/>
        <w:rPr>
          <w:rFonts w:ascii="Arial" w:hAnsi="Arial" w:cs="Arial"/>
          <w:color w:val="2E74B5" w:themeColor="accent1" w:themeShade="BF"/>
          <w:sz w:val="24"/>
          <w:szCs w:val="24"/>
        </w:rPr>
      </w:pPr>
    </w:p>
    <w:p w14:paraId="6CC1B5DA" w14:textId="77777777" w:rsidR="00653A61" w:rsidRDefault="00653A61">
      <w:pPr>
        <w:jc w:val="center"/>
        <w:rPr>
          <w:rFonts w:ascii="Arial" w:hAnsi="Arial" w:cs="Arial"/>
          <w:color w:val="2E74B5" w:themeColor="accent1" w:themeShade="BF"/>
          <w:sz w:val="24"/>
          <w:szCs w:val="24"/>
        </w:rPr>
      </w:pPr>
    </w:p>
    <w:p w14:paraId="5E6A5817" w14:textId="77777777" w:rsidR="00653A61" w:rsidRDefault="00653A61">
      <w:pPr>
        <w:jc w:val="center"/>
        <w:rPr>
          <w:rFonts w:ascii="Arial" w:hAnsi="Arial" w:cs="Arial"/>
          <w:color w:val="2E74B5" w:themeColor="accent1" w:themeShade="BF"/>
          <w:sz w:val="24"/>
          <w:szCs w:val="24"/>
        </w:rPr>
      </w:pPr>
    </w:p>
    <w:p w14:paraId="30C259C6" w14:textId="77777777" w:rsidR="00653A61" w:rsidRDefault="00653A61">
      <w:pPr>
        <w:jc w:val="center"/>
        <w:rPr>
          <w:rFonts w:ascii="Arial" w:hAnsi="Arial" w:cs="Arial"/>
          <w:color w:val="2E74B5" w:themeColor="accent1" w:themeShade="BF"/>
          <w:sz w:val="24"/>
          <w:szCs w:val="24"/>
        </w:rPr>
      </w:pPr>
    </w:p>
    <w:p w14:paraId="2AFADE97" w14:textId="77777777" w:rsidR="00653A61" w:rsidRDefault="00653A61">
      <w:pPr>
        <w:jc w:val="center"/>
        <w:rPr>
          <w:rFonts w:ascii="Arial" w:hAnsi="Arial" w:cs="Arial"/>
          <w:color w:val="2E74B5" w:themeColor="accent1" w:themeShade="BF"/>
          <w:sz w:val="24"/>
          <w:szCs w:val="24"/>
        </w:rPr>
      </w:pPr>
    </w:p>
    <w:p w14:paraId="753A22A4" w14:textId="77777777" w:rsidR="00653A61" w:rsidRDefault="00653A61">
      <w:pPr>
        <w:jc w:val="center"/>
        <w:rPr>
          <w:rFonts w:ascii="Arial" w:hAnsi="Arial" w:cs="Arial"/>
          <w:color w:val="2E74B5" w:themeColor="accent1" w:themeShade="BF"/>
          <w:sz w:val="24"/>
          <w:szCs w:val="24"/>
        </w:rPr>
      </w:pPr>
    </w:p>
    <w:p w14:paraId="524FDAF9" w14:textId="77777777" w:rsidR="00653A61" w:rsidRDefault="00653A61">
      <w:pPr>
        <w:jc w:val="center"/>
        <w:rPr>
          <w:rFonts w:ascii="Arial" w:hAnsi="Arial" w:cs="Arial"/>
          <w:color w:val="2E74B5" w:themeColor="accent1" w:themeShade="BF"/>
          <w:sz w:val="24"/>
          <w:szCs w:val="24"/>
        </w:rPr>
      </w:pPr>
    </w:p>
    <w:p w14:paraId="5C9063CA" w14:textId="77777777" w:rsidR="00653A61" w:rsidRDefault="00653A61">
      <w:pPr>
        <w:jc w:val="center"/>
        <w:rPr>
          <w:rFonts w:ascii="Arial" w:hAnsi="Arial" w:cs="Arial"/>
          <w:color w:val="2E74B5" w:themeColor="accent1" w:themeShade="BF"/>
          <w:sz w:val="24"/>
          <w:szCs w:val="24"/>
        </w:rPr>
      </w:pPr>
    </w:p>
    <w:p w14:paraId="2A51145A" w14:textId="77777777" w:rsidR="00653A61" w:rsidRDefault="00653A61">
      <w:pPr>
        <w:jc w:val="center"/>
        <w:rPr>
          <w:rFonts w:ascii="Arial" w:hAnsi="Arial" w:cs="Arial"/>
          <w:color w:val="2E74B5" w:themeColor="accent1" w:themeShade="BF"/>
          <w:sz w:val="24"/>
          <w:szCs w:val="24"/>
        </w:rPr>
      </w:pPr>
    </w:p>
    <w:p w14:paraId="03867D9E" w14:textId="77777777" w:rsidR="00653A61" w:rsidRDefault="00653A61">
      <w:pPr>
        <w:jc w:val="center"/>
        <w:rPr>
          <w:rFonts w:ascii="Arial" w:hAnsi="Arial" w:cs="Arial"/>
          <w:color w:val="2E74B5" w:themeColor="accent1" w:themeShade="BF"/>
          <w:sz w:val="24"/>
          <w:szCs w:val="24"/>
        </w:rPr>
      </w:pPr>
    </w:p>
    <w:p w14:paraId="598DBD5C" w14:textId="77777777" w:rsidR="00653A61" w:rsidRDefault="00653A61">
      <w:pPr>
        <w:jc w:val="center"/>
        <w:rPr>
          <w:rFonts w:ascii="Arial" w:hAnsi="Arial" w:cs="Arial"/>
          <w:color w:val="2E74B5" w:themeColor="accent1" w:themeShade="BF"/>
          <w:sz w:val="24"/>
          <w:szCs w:val="24"/>
        </w:rPr>
      </w:pPr>
    </w:p>
    <w:p w14:paraId="2DA65DA5" w14:textId="77777777" w:rsidR="00653A61" w:rsidRDefault="00653A61">
      <w:pPr>
        <w:jc w:val="center"/>
        <w:rPr>
          <w:rFonts w:ascii="Arial" w:hAnsi="Arial" w:cs="Arial"/>
          <w:color w:val="2E74B5" w:themeColor="accent1" w:themeShade="BF"/>
          <w:sz w:val="24"/>
          <w:szCs w:val="24"/>
        </w:rPr>
      </w:pPr>
    </w:p>
    <w:p w14:paraId="62635A02" w14:textId="77777777" w:rsidR="00653A61" w:rsidRDefault="00653A61">
      <w:pPr>
        <w:jc w:val="center"/>
        <w:rPr>
          <w:rFonts w:ascii="Arial" w:hAnsi="Arial" w:cs="Arial"/>
          <w:color w:val="2E74B5" w:themeColor="accent1" w:themeShade="BF"/>
          <w:sz w:val="24"/>
          <w:szCs w:val="24"/>
        </w:rPr>
      </w:pPr>
    </w:p>
    <w:p w14:paraId="1880DB1E" w14:textId="77777777" w:rsidR="00653A61" w:rsidRDefault="00653A61">
      <w:pPr>
        <w:jc w:val="center"/>
        <w:rPr>
          <w:rFonts w:ascii="Arial" w:hAnsi="Arial" w:cs="Arial"/>
          <w:color w:val="2E74B5" w:themeColor="accent1" w:themeShade="BF"/>
          <w:sz w:val="24"/>
          <w:szCs w:val="24"/>
        </w:rPr>
      </w:pPr>
    </w:p>
    <w:p w14:paraId="2262BFF4" w14:textId="77777777" w:rsidR="00653A61" w:rsidRDefault="00653A61">
      <w:pPr>
        <w:jc w:val="center"/>
        <w:rPr>
          <w:rFonts w:ascii="Arial" w:hAnsi="Arial" w:cs="Arial"/>
          <w:color w:val="2E74B5" w:themeColor="accent1" w:themeShade="BF"/>
          <w:sz w:val="24"/>
          <w:szCs w:val="24"/>
        </w:rPr>
      </w:pPr>
    </w:p>
    <w:p w14:paraId="416AB401"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Figura 0 - 1: Estructura de la investigación</w:t>
      </w:r>
    </w:p>
    <w:p w14:paraId="35886554" w14:textId="77777777" w:rsidR="00653A61" w:rsidRDefault="00653A61">
      <w:pPr>
        <w:jc w:val="center"/>
        <w:rPr>
          <w:rFonts w:ascii="Arial" w:hAnsi="Arial" w:cs="Arial"/>
          <w:color w:val="2E74B5" w:themeColor="accent1" w:themeShade="BF"/>
          <w:sz w:val="24"/>
          <w:szCs w:val="24"/>
        </w:rPr>
      </w:pPr>
    </w:p>
    <w:p w14:paraId="4CA40E9F" w14:textId="77777777" w:rsidR="00653A61" w:rsidRDefault="00563720">
      <w:pPr>
        <w:jc w:val="center"/>
        <w:rPr>
          <w:rFonts w:ascii="Arial" w:hAnsi="Arial" w:cs="Arial"/>
          <w:color w:val="2E74B5" w:themeColor="accent1" w:themeShade="BF"/>
          <w:sz w:val="24"/>
          <w:szCs w:val="24"/>
        </w:rPr>
      </w:pPr>
      <w:r>
        <w:rPr>
          <w:noProof/>
        </w:rPr>
        <w:drawing>
          <wp:inline distT="0" distB="0" distL="0" distR="0" wp14:anchorId="70E6CA9E" wp14:editId="60F80496">
            <wp:extent cx="5612130" cy="4545965"/>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3"/>
                    <pic:cNvPicPr>
                      <a:picLocks noChangeAspect="1" noChangeArrowheads="1"/>
                    </pic:cNvPicPr>
                  </pic:nvPicPr>
                  <pic:blipFill>
                    <a:blip r:embed="rId8"/>
                    <a:stretch>
                      <a:fillRect/>
                    </a:stretch>
                  </pic:blipFill>
                  <pic:spPr bwMode="auto">
                    <a:xfrm>
                      <a:off x="0" y="0"/>
                      <a:ext cx="5612130" cy="4545965"/>
                    </a:xfrm>
                    <a:prstGeom prst="rect">
                      <a:avLst/>
                    </a:prstGeom>
                    <a:noFill/>
                  </pic:spPr>
                </pic:pic>
              </a:graphicData>
            </a:graphic>
          </wp:inline>
        </w:drawing>
      </w:r>
    </w:p>
    <w:p w14:paraId="4CD1D210" w14:textId="77777777" w:rsidR="00653A61" w:rsidRDefault="00563720">
      <w:pPr>
        <w:jc w:val="center"/>
        <w:rPr>
          <w:rFonts w:ascii="Arial" w:hAnsi="Arial" w:cs="Arial"/>
          <w:color w:val="2E74B5" w:themeColor="accent1" w:themeShade="BF"/>
          <w:sz w:val="24"/>
          <w:szCs w:val="24"/>
        </w:rPr>
      </w:pPr>
      <w:r>
        <w:rPr>
          <w:rFonts w:ascii="Arial" w:hAnsi="Arial" w:cs="Arial"/>
          <w:b/>
          <w:bCs/>
          <w:color w:val="2E74B5" w:themeColor="accent1" w:themeShade="BF"/>
          <w:sz w:val="24"/>
          <w:szCs w:val="24"/>
        </w:rPr>
        <w:t>Fuente:</w:t>
      </w:r>
      <w:r>
        <w:rPr>
          <w:rFonts w:ascii="Arial" w:hAnsi="Arial" w:cs="Arial"/>
          <w:color w:val="2E74B5" w:themeColor="accent1" w:themeShade="BF"/>
          <w:sz w:val="24"/>
          <w:szCs w:val="24"/>
        </w:rPr>
        <w:t xml:space="preserve"> Elaboración propia a partir de (Hernández-Sampieri &amp; Mendoza, 2020)</w:t>
      </w:r>
    </w:p>
    <w:p w14:paraId="287483A9" w14:textId="77777777" w:rsidR="00653A61" w:rsidRDefault="00653A61">
      <w:pPr>
        <w:jc w:val="center"/>
        <w:rPr>
          <w:rFonts w:ascii="Arial" w:hAnsi="Arial" w:cs="Arial"/>
          <w:color w:val="2E74B5" w:themeColor="accent1" w:themeShade="BF"/>
          <w:sz w:val="24"/>
          <w:szCs w:val="24"/>
        </w:rPr>
      </w:pPr>
    </w:p>
    <w:p w14:paraId="18EBA7B0" w14:textId="77777777" w:rsidR="00653A61" w:rsidRDefault="00563720">
      <w:pPr>
        <w:pStyle w:val="Prrafodelista"/>
        <w:numPr>
          <w:ilvl w:val="0"/>
          <w:numId w:val="3"/>
        </w:numPr>
        <w:rPr>
          <w:rFonts w:ascii="Arial" w:hAnsi="Arial" w:cs="Arial"/>
          <w:b/>
          <w:color w:val="2E74B5" w:themeColor="accent1" w:themeShade="BF"/>
          <w:sz w:val="24"/>
          <w:szCs w:val="24"/>
        </w:rPr>
      </w:pPr>
      <w:r>
        <w:rPr>
          <w:rFonts w:ascii="Arial" w:hAnsi="Arial" w:cs="Arial"/>
          <w:b/>
          <w:color w:val="2E74B5" w:themeColor="accent1" w:themeShade="BF"/>
          <w:sz w:val="24"/>
          <w:szCs w:val="24"/>
        </w:rPr>
        <w:t>REVISIÓN DE LITERATURA</w:t>
      </w:r>
    </w:p>
    <w:p w14:paraId="238CD4BE" w14:textId="77777777" w:rsidR="00653A61" w:rsidRDefault="00653A61">
      <w:pPr>
        <w:jc w:val="both"/>
        <w:rPr>
          <w:rFonts w:ascii="Arial" w:hAnsi="Arial" w:cs="Arial"/>
          <w:color w:val="2E74B5" w:themeColor="accent1" w:themeShade="BF"/>
          <w:sz w:val="24"/>
          <w:szCs w:val="24"/>
        </w:rPr>
      </w:pPr>
    </w:p>
    <w:p w14:paraId="6CCA53A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este apartado se presenta una revisión de la literatura especializada que sustenta teóricamente el problema de investigación. En primer lugar, se aborda el concepto de marketing emocional, analizando su evolución y su papel en la generación de vínculos afectivos entre las marcas y los consumidores en entornos digitales. Posteriormente, se examina el modelo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sus principales características y su expansión en el comercio electrónico, particularmente a través de plataformas digitales. A continuación, se revisa el comportamiento de compra del consumidor joven en contextos digitales, con énfasis en la influencia de los </w:t>
      </w:r>
      <w:r>
        <w:rPr>
          <w:rFonts w:ascii="Arial" w:hAnsi="Arial" w:cs="Arial"/>
          <w:color w:val="2E74B5" w:themeColor="accent1" w:themeShade="BF"/>
          <w:sz w:val="24"/>
          <w:szCs w:val="24"/>
        </w:rPr>
        <w:lastRenderedPageBreak/>
        <w:t>estímulos emocionales en la toma de decisiones de compra. Finalmente, se analiza la preferencia por marcas locales de moda, considerando los factores que se relacionan con la elección del consumidor joven frente a la competencia de plataformas globales. Esta revisión permite establecer el marco conceptual del estudio, identificar y fundamentar las variables y relaciones analizadas en la investigación.</w:t>
      </w:r>
    </w:p>
    <w:p w14:paraId="28F79385" w14:textId="77777777" w:rsidR="00653A61" w:rsidRDefault="00653A61">
      <w:pPr>
        <w:jc w:val="center"/>
        <w:rPr>
          <w:rFonts w:ascii="Arial" w:hAnsi="Arial" w:cs="Arial"/>
          <w:b/>
          <w:color w:val="2E74B5" w:themeColor="accent1" w:themeShade="BF"/>
          <w:sz w:val="24"/>
          <w:szCs w:val="24"/>
        </w:rPr>
      </w:pPr>
    </w:p>
    <w:p w14:paraId="3CE3202C" w14:textId="77777777" w:rsidR="00653A61" w:rsidRDefault="00563720">
      <w:pPr>
        <w:pStyle w:val="Prrafodelista"/>
        <w:numPr>
          <w:ilvl w:val="1"/>
          <w:numId w:val="2"/>
        </w:numPr>
        <w:rPr>
          <w:rFonts w:ascii="Arial" w:hAnsi="Arial" w:cs="Arial"/>
          <w:b/>
          <w:bCs/>
          <w:color w:val="2E74B5" w:themeColor="accent1" w:themeShade="BF"/>
          <w:lang w:val="es-MX"/>
        </w:rPr>
      </w:pPr>
      <w:r>
        <w:rPr>
          <w:rFonts w:ascii="Arial" w:hAnsi="Arial" w:cs="Arial"/>
          <w:b/>
          <w:bCs/>
          <w:color w:val="2E74B5" w:themeColor="accent1" w:themeShade="BF"/>
          <w:lang w:val="es-MX"/>
        </w:rPr>
        <w:t xml:space="preserve">Consideración del concepto de marketing emocional </w:t>
      </w:r>
    </w:p>
    <w:p w14:paraId="7055FD11" w14:textId="77777777" w:rsidR="00653A61" w:rsidRDefault="00653A61">
      <w:pPr>
        <w:rPr>
          <w:rFonts w:ascii="Arial" w:hAnsi="Arial" w:cs="Arial"/>
          <w:sz w:val="24"/>
          <w:szCs w:val="24"/>
        </w:rPr>
      </w:pPr>
    </w:p>
    <w:p w14:paraId="2DDA612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Como base fundamental de este estudio, se requiere determinar y analizar la definición del concepto de marketing emocional, con el fin de entender no solo su significado teórico, sino también el impacto de su implementación dentro del contexto de consumo contemporáneo, permitiendo también establecer la relación entre el marketing emocional y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y de este modo, explicar cómo estas estrategias se relacionan con en el comportamiento de compra de los jóvenes bogotanos.</w:t>
      </w:r>
    </w:p>
    <w:p w14:paraId="2DCDBEE8" w14:textId="77777777" w:rsidR="00653A61" w:rsidRDefault="00653A61">
      <w:pPr>
        <w:jc w:val="both"/>
        <w:rPr>
          <w:rFonts w:ascii="Arial" w:hAnsi="Arial" w:cs="Arial"/>
          <w:color w:val="2E74B5" w:themeColor="accent1" w:themeShade="BF"/>
          <w:sz w:val="24"/>
          <w:szCs w:val="24"/>
        </w:rPr>
      </w:pPr>
    </w:p>
    <w:p w14:paraId="4921846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Para empezar, según (Achar et al. 2016) el marketing emocional es una estrategia dentro del marketing que busca establecer un vínculo afectivo entre la marca y sus usuarios, consumidores y clientes potenciales. Su objetivo es hacer que las personas sientan la marca como algo propio, podrían estar relacionadas con una conexión emocional tan fuerte que deseen ser parte de ella.</w:t>
      </w:r>
    </w:p>
    <w:p w14:paraId="25E221A4" w14:textId="77777777" w:rsidR="00653A61" w:rsidRDefault="00653A61">
      <w:pPr>
        <w:jc w:val="both"/>
        <w:rPr>
          <w:rFonts w:ascii="Arial" w:hAnsi="Arial" w:cs="Arial"/>
          <w:color w:val="2E74B5" w:themeColor="accent1" w:themeShade="BF"/>
          <w:sz w:val="24"/>
          <w:szCs w:val="24"/>
        </w:rPr>
      </w:pPr>
    </w:p>
    <w:p w14:paraId="6F31547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autor (Sharma, 2022) asegura que conecta al público con las marcas de una manera más personal y humana. Con la llegada de nuevos canales y plataformas de comunicación, las personas tienen un mayor acceso a todas las marcas. El marketing emocional es una forma de transmitir la identidad de una empresa. Las personas no compran el producto, sino la promesa de cómo se sentirán al usarlo. </w:t>
      </w:r>
    </w:p>
    <w:p w14:paraId="5282226F" w14:textId="77777777" w:rsidR="00653A61" w:rsidRDefault="00653A61">
      <w:pPr>
        <w:jc w:val="both"/>
        <w:rPr>
          <w:rFonts w:ascii="Arial" w:hAnsi="Arial" w:cs="Arial"/>
          <w:color w:val="2E74B5" w:themeColor="accent1" w:themeShade="BF"/>
          <w:sz w:val="24"/>
          <w:szCs w:val="24"/>
        </w:rPr>
      </w:pPr>
    </w:p>
    <w:p w14:paraId="656FE7F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Al integrar estos aportes, se puede inferir que el marketing emocional no se limita a atraer consumidores, sino que lo que busca es la fidelización de estos a través de la creación de experiencias significativas. Este aspecto es importante en los jóvenes, ya que es esta población quien tiende a valorar la autenticidad, la coherencia simbólica y la capacidad que tiene una marca para despertar emociones que generen identidad de alguna u otra manera. </w:t>
      </w:r>
    </w:p>
    <w:p w14:paraId="1123FC27" w14:textId="77777777" w:rsidR="00653A61" w:rsidRDefault="00653A61">
      <w:pPr>
        <w:jc w:val="both"/>
        <w:rPr>
          <w:rFonts w:ascii="Arial" w:hAnsi="Arial" w:cs="Arial"/>
          <w:color w:val="2E74B5" w:themeColor="accent1" w:themeShade="BF"/>
          <w:sz w:val="24"/>
          <w:szCs w:val="24"/>
        </w:rPr>
      </w:pPr>
    </w:p>
    <w:p w14:paraId="2C8D27D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Entonces, el marketing emocional es una estrategia efectiva para fortalecer las ventas y construir una identidad de marca sólida. Este enfoque emplea distintos canales, entre ellos las redes sociales para comunicar mensajes que conecten emocionalmente con el público. Su particularidad dentro del ámbito del marketing radica en que prioriza la creación de vínculos afectivos entre la empresa y los consumidores, convirtiendo esas emociones en un factor determinante del comportamiento de compra y la fidelidad hacia la marca (Duque Holguin &amp; Ramos Torres, 2023).</w:t>
      </w:r>
    </w:p>
    <w:p w14:paraId="3E3DCAAE" w14:textId="77777777" w:rsidR="00653A61" w:rsidRDefault="00653A61">
      <w:pPr>
        <w:jc w:val="both"/>
        <w:rPr>
          <w:rFonts w:ascii="Arial" w:hAnsi="Arial" w:cs="Arial"/>
          <w:color w:val="2E74B5" w:themeColor="accent1" w:themeShade="BF"/>
          <w:sz w:val="24"/>
          <w:szCs w:val="24"/>
        </w:rPr>
      </w:pPr>
    </w:p>
    <w:p w14:paraId="639546C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También amplía esta visión (Vera et al. 2024) al señalar que es una estrategia orientada a generar una conexión significativa entre una marca y su público, enfocándose en las emociones, sentimientos y valores personales de los consumidores; este enfoque utiliza historias narrativas, experiencias y mensajes capaces de despertar emociones como la alegría, la nostalgia o la empatía, en lugar de centrarse solamente en los aspectos funcionales de un producto o servicio.  Su objetivo es promover la diferenciación y establecer una relación duradera con los clientes, bajo la premisa que las decisiones de compra están estrechamente ligadas a las emociones, lo cual convierte cada interacción con la marca en una experiencia auténtica y memorable. </w:t>
      </w:r>
    </w:p>
    <w:p w14:paraId="70CA459E" w14:textId="77777777" w:rsidR="00653A61" w:rsidRDefault="00653A61">
      <w:pPr>
        <w:jc w:val="both"/>
        <w:rPr>
          <w:rFonts w:ascii="Arial" w:hAnsi="Arial" w:cs="Arial"/>
          <w:color w:val="2E74B5" w:themeColor="accent1" w:themeShade="BF"/>
          <w:sz w:val="24"/>
          <w:szCs w:val="24"/>
        </w:rPr>
      </w:pPr>
    </w:p>
    <w:p w14:paraId="1ADDB71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Por otro lado, (Tan, Y. 2024a) menciona que surge como un nuevo concepto dentro del ámbito del marketing. Desde un aspecto teórico, el marketing emocional plantea que las decisiones de compra no se basan únicamente en criterios racionales, sino también en reacciones emocionales. Este cambio, de un enfoque estrictamente transaccional hacia otro que reconoce la influencia de los estímulos afectivos en el comportamiento del consumidor, resulta fundamental para comprender las estrategias de marketing actuales. </w:t>
      </w:r>
    </w:p>
    <w:p w14:paraId="46C678A0" w14:textId="77777777" w:rsidR="00653A61" w:rsidRDefault="00653A61">
      <w:pPr>
        <w:jc w:val="both"/>
        <w:rPr>
          <w:rFonts w:ascii="Arial" w:hAnsi="Arial" w:cs="Arial"/>
          <w:color w:val="2E74B5" w:themeColor="accent1" w:themeShade="BF"/>
          <w:sz w:val="24"/>
          <w:szCs w:val="24"/>
        </w:rPr>
      </w:pPr>
    </w:p>
    <w:p w14:paraId="470E689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Teniendo en cuenta los conceptos y visión de (Tan, Y. 2024), se observa un cambio en el proceso de decisión de compra del consumidor dentro del marketing emocional, lo cual podría estar determinado por un enfoque contemporáneo que evoluciona desde el enfoque transaccional hacia una orientación más experiencial. Este nuevo modelo considera que los consumidores no toman decisiones exclusivamente basadas en la racionalidad, sino que sus decisiones están influenciadas o determinadas también por componentes afectivos, que involucran sentimientos y emociones, lo cual les </w:t>
      </w:r>
      <w:proofErr w:type="gramStart"/>
      <w:r>
        <w:rPr>
          <w:rFonts w:ascii="Arial" w:hAnsi="Arial" w:cs="Arial"/>
          <w:color w:val="2E74B5" w:themeColor="accent1" w:themeShade="BF"/>
          <w:sz w:val="24"/>
          <w:szCs w:val="24"/>
        </w:rPr>
        <w:t>permite  sentirse</w:t>
      </w:r>
      <w:proofErr w:type="gramEnd"/>
      <w:r>
        <w:rPr>
          <w:rFonts w:ascii="Arial" w:hAnsi="Arial" w:cs="Arial"/>
          <w:color w:val="2E74B5" w:themeColor="accent1" w:themeShade="BF"/>
          <w:sz w:val="24"/>
          <w:szCs w:val="24"/>
        </w:rPr>
        <w:t xml:space="preserve"> identificados con una marca o incluso tener un sentido de pertenencia hacia ella.</w:t>
      </w:r>
    </w:p>
    <w:p w14:paraId="0ECF5A3A" w14:textId="77777777" w:rsidR="00653A61" w:rsidRDefault="00653A61">
      <w:pPr>
        <w:jc w:val="both"/>
        <w:rPr>
          <w:rFonts w:ascii="Arial" w:hAnsi="Arial" w:cs="Arial"/>
          <w:color w:val="2E74B5" w:themeColor="accent1" w:themeShade="BF"/>
          <w:sz w:val="24"/>
          <w:szCs w:val="24"/>
        </w:rPr>
      </w:pPr>
    </w:p>
    <w:p w14:paraId="43C50FB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El propósito central del marketing emocional consiste en que el consumidor desplace momentáneamente los juicios racionales y responda principalmente a sus emociones e impulsos de compra. Este enfoque busca generar sensaciones positivas, de modo que el cliente experimente satisfacción y bienestar al adquirir un producto o servicio (Mejía et al., 2024).</w:t>
      </w:r>
    </w:p>
    <w:p w14:paraId="79F9364C" w14:textId="77777777" w:rsidR="00653A61" w:rsidRDefault="00653A61">
      <w:pPr>
        <w:jc w:val="both"/>
        <w:rPr>
          <w:rFonts w:ascii="Arial" w:hAnsi="Arial" w:cs="Arial"/>
          <w:color w:val="2E74B5" w:themeColor="accent1" w:themeShade="BF"/>
          <w:sz w:val="24"/>
          <w:szCs w:val="24"/>
        </w:rPr>
      </w:pPr>
    </w:p>
    <w:p w14:paraId="68A4F8B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Siguiendo en esta misma perspectiva, el marketing emocional se configura como una herramienta que permite a las empresas establecer nuevas formas de relación con sus consumidores, reconociendo que ellos no solo buscan satisfacer necesidades funcionales, sino también sentirse valorados, escuchados e identificadas con y por las marcas. Por ello, las estrategias que apelan a las emociones están orientadas a generar experiencias significativas, capaces de fortalecer el vínculo con el consumidor y transformar una simple transacción en una experiencia memorable. (Mejía et al., 2024). </w:t>
      </w:r>
    </w:p>
    <w:p w14:paraId="1BE78A09" w14:textId="77777777" w:rsidR="00653A61" w:rsidRDefault="00653A61">
      <w:pPr>
        <w:jc w:val="both"/>
        <w:rPr>
          <w:rFonts w:ascii="Arial" w:hAnsi="Arial" w:cs="Arial"/>
          <w:color w:val="2E74B5" w:themeColor="accent1" w:themeShade="BF"/>
          <w:sz w:val="24"/>
          <w:szCs w:val="24"/>
        </w:rPr>
      </w:pPr>
    </w:p>
    <w:p w14:paraId="1CA73C2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conjunto, los aportes de los autores revisados permiten comprender que, el marketing emocional no se limita a un mecanismo de seducción, sino que actúa como un recurso estratégico para fortalecer la identidad de marca y construir relaciones afectivas duraderas con los consumidores. Cumple un papel principal al establecer el vínculo entre las emociones y la marca, en el proceso de consumo, fortaleciendo la identificación del consumidor con la marca. </w:t>
      </w:r>
    </w:p>
    <w:p w14:paraId="56BBAFE8" w14:textId="77777777" w:rsidR="00653A61" w:rsidRDefault="00653A61">
      <w:pPr>
        <w:jc w:val="both"/>
        <w:rPr>
          <w:rFonts w:ascii="Arial" w:hAnsi="Arial" w:cs="Arial"/>
          <w:color w:val="2E74B5" w:themeColor="accent1" w:themeShade="BF"/>
          <w:sz w:val="24"/>
          <w:szCs w:val="24"/>
        </w:rPr>
      </w:pPr>
    </w:p>
    <w:p w14:paraId="79584E4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 partir de esta perspectiva, el marketing emocional puede ser comprendido o entenderse no solo como una estrategia de comunicación, sino como un conjunto de estímulos diseñados para provocar respuestas emocionales específicas en los consumidores. En el contexto digital, estas respuestas se presentan durante la interacción con las plataformas, relacionándose directamente con la experiencia de navegación, la evaluación de la oferta y la toma de decisiones de compra. En este sentido, para la operacionalización el marketing emocional en contextos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resulta necesario centrar el análisis en las respuestas emocionales que surgen de dicha experiencia, las cuales se abordan en el siguiente apartado.</w:t>
      </w:r>
    </w:p>
    <w:p w14:paraId="4BBF71A0" w14:textId="77777777" w:rsidR="00653A61" w:rsidRDefault="00653A61">
      <w:pPr>
        <w:jc w:val="both"/>
        <w:rPr>
          <w:rFonts w:ascii="Arial" w:hAnsi="Arial" w:cs="Arial"/>
          <w:color w:val="2E74B5" w:themeColor="accent1" w:themeShade="BF"/>
          <w:sz w:val="24"/>
          <w:szCs w:val="24"/>
        </w:rPr>
      </w:pPr>
    </w:p>
    <w:p w14:paraId="0A76E8C3"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lang w:val="es-MX"/>
        </w:rPr>
        <w:t>1.1.1 Respuestas emocionales vinculadas a la experiencia digital</w:t>
      </w:r>
    </w:p>
    <w:p w14:paraId="0ECC27F5" w14:textId="77777777" w:rsidR="00653A61" w:rsidRDefault="00653A61">
      <w:pPr>
        <w:rPr>
          <w:rFonts w:ascii="Arial" w:hAnsi="Arial" w:cs="Arial"/>
          <w:color w:val="2E74B5" w:themeColor="accent1" w:themeShade="BF"/>
          <w:sz w:val="24"/>
          <w:szCs w:val="24"/>
        </w:rPr>
      </w:pPr>
    </w:p>
    <w:p w14:paraId="49258E7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Las respuestas emocionales en el contexto del consumo han sido reconocidas en la literatura del marketing emocional como un factor determinante en la toma de decisiones de compra. Desde una visión psicológica, las emociones se entienden </w:t>
      </w:r>
      <w:r>
        <w:rPr>
          <w:rFonts w:ascii="Arial" w:hAnsi="Arial" w:cs="Arial"/>
          <w:color w:val="2E74B5" w:themeColor="accent1" w:themeShade="BF"/>
          <w:sz w:val="24"/>
          <w:szCs w:val="24"/>
        </w:rPr>
        <w:lastRenderedPageBreak/>
        <w:t>como reacciones afectivas que surgen ante estímulos específicos y que se relacionan con la evaluación, la actitud y el comportamiento del consumidor (Mehrabian &amp; Russell 1974). En entornos digitales, estas respuestas se activan a partir de la interacción del usuario con interfaces, contenidos visuales, estímulos sonoros, mensajes promocionales y dinámicas de navegación diseñadas estratégicamente para incentivar.</w:t>
      </w:r>
    </w:p>
    <w:p w14:paraId="40D62D83" w14:textId="77777777" w:rsidR="00653A61" w:rsidRDefault="00653A61">
      <w:pPr>
        <w:jc w:val="both"/>
        <w:rPr>
          <w:rFonts w:ascii="Arial" w:hAnsi="Arial" w:cs="Arial"/>
          <w:color w:val="2E74B5" w:themeColor="accent1" w:themeShade="BF"/>
          <w:sz w:val="24"/>
          <w:szCs w:val="24"/>
        </w:rPr>
      </w:pPr>
    </w:p>
    <w:p w14:paraId="739CD7B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Diversos estudios coinciden en que, en contextos de comercio electrónico, las decisiones de compra no responden únicamente a procesos racionales relacionados con el precio, la calidad o la utilidad del producto, sino que están profundamente mediadas por emociones como el agrado, la excitación, la satisfacción y la urgencia percibida (Achar et al. 2016) y (Tan, Y. 2024). En este sentido, el marketing emocional no se entiende como un constructo independiente, sino como un conjunto de estímulos que podrían estar relacionados con respuestas emocionales específicas durante la experiencia digital del consumidor.</w:t>
      </w:r>
    </w:p>
    <w:p w14:paraId="630CCBF1" w14:textId="77777777" w:rsidR="00653A61" w:rsidRDefault="00653A61">
      <w:pPr>
        <w:jc w:val="both"/>
        <w:rPr>
          <w:rFonts w:ascii="Arial" w:hAnsi="Arial" w:cs="Arial"/>
          <w:color w:val="2E74B5" w:themeColor="accent1" w:themeShade="BF"/>
          <w:sz w:val="24"/>
          <w:szCs w:val="24"/>
        </w:rPr>
      </w:pPr>
    </w:p>
    <w:p w14:paraId="7CF8C09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lo que respecta a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estas respuestas logran un gran impacto debido a la alta carga sensorial y simbólica de la experiencia digital; la cual está caracterizada por catálogos particularmente atractivos visualmente, promociones constantes, mensajes de escasez y urgencia, todo esto sumado a una navegación altamente personalizada. Todo esto en conjunto, contribuye a la experimentación de emociones que se relacionan de manera directa en el comportamiento de compra, especialmente en el público joven, población que es aún más sensible a estímulos inmediatos y experienciales (Valverde et al. 2023).</w:t>
      </w:r>
    </w:p>
    <w:p w14:paraId="6E00DA69" w14:textId="77777777" w:rsidR="00653A61" w:rsidRDefault="00653A61">
      <w:pPr>
        <w:jc w:val="both"/>
        <w:rPr>
          <w:rFonts w:ascii="Arial" w:hAnsi="Arial" w:cs="Arial"/>
          <w:color w:val="2E74B5" w:themeColor="accent1" w:themeShade="BF"/>
          <w:sz w:val="24"/>
          <w:szCs w:val="24"/>
        </w:rPr>
      </w:pPr>
    </w:p>
    <w:p w14:paraId="31C7D6A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Uno de los modelos más utilizados para el estudio de las respuestas emocionales en contextos de consumo es el modelo PAD (Pleasure–</w:t>
      </w:r>
      <w:proofErr w:type="spellStart"/>
      <w:r>
        <w:rPr>
          <w:rFonts w:ascii="Arial" w:hAnsi="Arial" w:cs="Arial"/>
          <w:color w:val="2E74B5" w:themeColor="accent1" w:themeShade="BF"/>
          <w:sz w:val="24"/>
          <w:szCs w:val="24"/>
        </w:rPr>
        <w:t>Arousal</w:t>
      </w:r>
      <w:proofErr w:type="spellEnd"/>
      <w:r>
        <w:rPr>
          <w:rFonts w:ascii="Arial" w:hAnsi="Arial" w:cs="Arial"/>
          <w:color w:val="2E74B5" w:themeColor="accent1" w:themeShade="BF"/>
          <w:sz w:val="24"/>
          <w:szCs w:val="24"/>
        </w:rPr>
        <w:t>–</w:t>
      </w:r>
      <w:proofErr w:type="spellStart"/>
      <w:r>
        <w:rPr>
          <w:rFonts w:ascii="Arial" w:hAnsi="Arial" w:cs="Arial"/>
          <w:color w:val="2E74B5" w:themeColor="accent1" w:themeShade="BF"/>
          <w:sz w:val="24"/>
          <w:szCs w:val="24"/>
        </w:rPr>
        <w:t>Dominance</w:t>
      </w:r>
      <w:proofErr w:type="spellEnd"/>
      <w:r>
        <w:rPr>
          <w:rFonts w:ascii="Arial" w:hAnsi="Arial" w:cs="Arial"/>
          <w:color w:val="2E74B5" w:themeColor="accent1" w:themeShade="BF"/>
          <w:sz w:val="24"/>
          <w:szCs w:val="24"/>
        </w:rPr>
        <w:t xml:space="preserve">), propuesto por (Mehrabian &amp; Russell 1974). Este modelo plantea que podrían estar relacionadas con estados emocionales que pueden describirse a partir de tres dimensiones: placer (agrado), activación emocional (excitación o </w:t>
      </w:r>
      <w:proofErr w:type="spellStart"/>
      <w:r>
        <w:rPr>
          <w:rFonts w:ascii="Arial" w:hAnsi="Arial" w:cs="Arial"/>
          <w:color w:val="2E74B5" w:themeColor="accent1" w:themeShade="BF"/>
          <w:sz w:val="24"/>
          <w:szCs w:val="24"/>
        </w:rPr>
        <w:t>arousal</w:t>
      </w:r>
      <w:proofErr w:type="spellEnd"/>
      <w:r>
        <w:rPr>
          <w:rFonts w:ascii="Arial" w:hAnsi="Arial" w:cs="Arial"/>
          <w:color w:val="2E74B5" w:themeColor="accent1" w:themeShade="BF"/>
          <w:sz w:val="24"/>
          <w:szCs w:val="24"/>
        </w:rPr>
        <w:t>) y dominancia. En investigaciones posteriores aplicadas al marketing y a los entornos digitales, la dimensión de dominancia ha sido utilizada de forma menos recurrente, priorizando el análisis del placer y la activación emocional como predictores del comportamiento del consumidor.</w:t>
      </w:r>
    </w:p>
    <w:p w14:paraId="5A8346F2" w14:textId="77777777" w:rsidR="00653A61" w:rsidRDefault="00653A61">
      <w:pPr>
        <w:jc w:val="both"/>
        <w:rPr>
          <w:rFonts w:ascii="Arial" w:hAnsi="Arial" w:cs="Arial"/>
          <w:color w:val="2E74B5" w:themeColor="accent1" w:themeShade="BF"/>
          <w:sz w:val="24"/>
          <w:szCs w:val="24"/>
        </w:rPr>
      </w:pPr>
    </w:p>
    <w:p w14:paraId="7945902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componente de placer o valencia emocional se refiere al grado en que la experiencia resulta agradable o satisfactoria para el consumidor, mientras que la activación emocional se asocia con el nivel de excitación, entusiasmo o urgencia </w:t>
      </w:r>
      <w:r>
        <w:rPr>
          <w:rFonts w:ascii="Arial" w:hAnsi="Arial" w:cs="Arial"/>
          <w:color w:val="2E74B5" w:themeColor="accent1" w:themeShade="BF"/>
          <w:sz w:val="24"/>
          <w:szCs w:val="24"/>
        </w:rPr>
        <w:lastRenderedPageBreak/>
        <w:t xml:space="preserve">que experimenta durante la interacción con el entorno digital. Numerosos estudios han validado la pertinencia de estas dimensiones para explicar reacciones emocionales en contextos de consumo en línea, demostrando su influencia en variables como el tiempo de permanencia, la intención de compra y la recompra (Hwang &amp; </w:t>
      </w:r>
      <w:proofErr w:type="spellStart"/>
      <w:r>
        <w:rPr>
          <w:rFonts w:ascii="Arial" w:hAnsi="Arial" w:cs="Arial"/>
          <w:color w:val="2E74B5" w:themeColor="accent1" w:themeShade="BF"/>
          <w:sz w:val="24"/>
          <w:szCs w:val="24"/>
        </w:rPr>
        <w:t>Kandampully</w:t>
      </w:r>
      <w:proofErr w:type="spellEnd"/>
      <w:r>
        <w:rPr>
          <w:rFonts w:ascii="Arial" w:hAnsi="Arial" w:cs="Arial"/>
          <w:color w:val="2E74B5" w:themeColor="accent1" w:themeShade="BF"/>
          <w:sz w:val="24"/>
          <w:szCs w:val="24"/>
        </w:rPr>
        <w:t>, (2012)).</w:t>
      </w:r>
    </w:p>
    <w:p w14:paraId="7CB8D527" w14:textId="77777777" w:rsidR="00653A61" w:rsidRDefault="00653A61">
      <w:pPr>
        <w:jc w:val="both"/>
        <w:rPr>
          <w:rFonts w:ascii="Arial" w:hAnsi="Arial" w:cs="Arial"/>
          <w:color w:val="2E74B5" w:themeColor="accent1" w:themeShade="BF"/>
          <w:sz w:val="24"/>
          <w:szCs w:val="24"/>
        </w:rPr>
      </w:pPr>
    </w:p>
    <w:p w14:paraId="59D62C0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Adicionalmente, la literatura actual ha introducido el concepto de experiencia emocional digital, entendido como el conjunto de sensaciones, estímulos y estados afectivos que nacen de la interacción entre el usuario y la plataforma digital. Este enfoque plantea que la experiencia del consumidor no está limitada a una reacción emocional puntual, sino que corresponde a un proceso continuo de compromiso afectivo mediado por el diseño de la interfaz, la narrativa visual, la personalización algorítmica y la interactividad (Hwang &amp; </w:t>
      </w:r>
      <w:proofErr w:type="spellStart"/>
      <w:r>
        <w:rPr>
          <w:rFonts w:ascii="Arial" w:hAnsi="Arial" w:cs="Arial"/>
          <w:color w:val="2E74B5" w:themeColor="accent1" w:themeShade="BF"/>
          <w:sz w:val="24"/>
          <w:szCs w:val="24"/>
        </w:rPr>
        <w:t>Kandampully</w:t>
      </w:r>
      <w:proofErr w:type="spellEnd"/>
      <w:r>
        <w:rPr>
          <w:rFonts w:ascii="Arial" w:hAnsi="Arial" w:cs="Arial"/>
          <w:color w:val="2E74B5" w:themeColor="accent1" w:themeShade="BF"/>
          <w:sz w:val="24"/>
          <w:szCs w:val="24"/>
        </w:rPr>
        <w:t xml:space="preserve"> 2012; Valverde et al. 2023).</w:t>
      </w:r>
    </w:p>
    <w:p w14:paraId="08641A48" w14:textId="77777777" w:rsidR="00653A61" w:rsidRDefault="00653A61">
      <w:pPr>
        <w:jc w:val="both"/>
        <w:rPr>
          <w:rFonts w:ascii="Arial" w:hAnsi="Arial" w:cs="Arial"/>
          <w:color w:val="2E74B5" w:themeColor="accent1" w:themeShade="BF"/>
          <w:sz w:val="24"/>
          <w:szCs w:val="24"/>
        </w:rPr>
      </w:pPr>
    </w:p>
    <w:p w14:paraId="0350FAC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el e-</w:t>
      </w:r>
      <w:proofErr w:type="spellStart"/>
      <w:r>
        <w:rPr>
          <w:rFonts w:ascii="Arial" w:hAnsi="Arial" w:cs="Arial"/>
          <w:color w:val="2E74B5" w:themeColor="accent1" w:themeShade="BF"/>
          <w:sz w:val="24"/>
          <w:szCs w:val="24"/>
        </w:rPr>
        <w:t>commerce</w:t>
      </w:r>
      <w:proofErr w:type="spellEnd"/>
      <w:r>
        <w:rPr>
          <w:rFonts w:ascii="Arial" w:hAnsi="Arial" w:cs="Arial"/>
          <w:color w:val="2E74B5" w:themeColor="accent1" w:themeShade="BF"/>
          <w:sz w:val="24"/>
          <w:szCs w:val="24"/>
        </w:rPr>
        <w:t xml:space="preserve">, estos modelos se han utilizado con el fin de estudiar la respuesta emocional de los consumidores jóvenes a experiencias digitales intensas, lo que permite comprender de un modo más profundo cómo las emociones influyen en la conducta de compra en plataformas digitales. Elementos como exhibición visual de los productos, la personalización del contenido, la facilidad de navegación y la presencia de estímulos promocionales pueden generar estados emocionales que afectan directamente la percepción de valor del consumidor y su proceso de toma de decisiones. </w:t>
      </w:r>
    </w:p>
    <w:p w14:paraId="54B23841" w14:textId="77777777" w:rsidR="00653A61" w:rsidRDefault="00653A61">
      <w:pPr>
        <w:jc w:val="both"/>
        <w:rPr>
          <w:rFonts w:ascii="Arial" w:hAnsi="Arial" w:cs="Arial"/>
          <w:color w:val="2E74B5" w:themeColor="accent1" w:themeShade="BF"/>
          <w:sz w:val="24"/>
          <w:szCs w:val="24"/>
        </w:rPr>
      </w:pPr>
    </w:p>
    <w:p w14:paraId="5424EEC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el caso de los consumidores jóvenes, estas respuestas emocionales resultan de gran </w:t>
      </w:r>
      <w:proofErr w:type="gramStart"/>
      <w:r>
        <w:rPr>
          <w:rFonts w:ascii="Arial" w:hAnsi="Arial" w:cs="Arial"/>
          <w:color w:val="2E74B5" w:themeColor="accent1" w:themeShade="BF"/>
          <w:sz w:val="24"/>
          <w:szCs w:val="24"/>
        </w:rPr>
        <w:t>importancia,  debido</w:t>
      </w:r>
      <w:proofErr w:type="gramEnd"/>
      <w:r>
        <w:rPr>
          <w:rFonts w:ascii="Arial" w:hAnsi="Arial" w:cs="Arial"/>
          <w:color w:val="2E74B5" w:themeColor="accent1" w:themeShade="BF"/>
          <w:sz w:val="24"/>
          <w:szCs w:val="24"/>
        </w:rPr>
        <w:t xml:space="preserve"> a que esta población en </w:t>
      </w:r>
      <w:proofErr w:type="gramStart"/>
      <w:r>
        <w:rPr>
          <w:rFonts w:ascii="Arial" w:hAnsi="Arial" w:cs="Arial"/>
          <w:color w:val="2E74B5" w:themeColor="accent1" w:themeShade="BF"/>
          <w:sz w:val="24"/>
          <w:szCs w:val="24"/>
        </w:rPr>
        <w:t>particular,</w:t>
      </w:r>
      <w:proofErr w:type="gramEnd"/>
      <w:r>
        <w:rPr>
          <w:rFonts w:ascii="Arial" w:hAnsi="Arial" w:cs="Arial"/>
          <w:color w:val="2E74B5" w:themeColor="accent1" w:themeShade="BF"/>
          <w:sz w:val="24"/>
          <w:szCs w:val="24"/>
        </w:rPr>
        <w:t xml:space="preserve"> está altamente expuesta a entornos digitales y por ello su familiaridad con las dinámicas del comercio electrónico. Lo anterior, favorece interacciones mucho más intensas, así como experiencias de compra más inmersivas. En este sentido, las emociones generadas durante la interacción con la plataforma no solo influyen en la experiencia de compra, sino también en las conductas posteriores, como la intención de compra, la intención de recompra y la preferencia por determinadas plataformas o marcas. Es así como el análisis de las respuestas emocionales en entornos digitales se convierte en un elemento clave para comprender el comportamiento del consumidor dentro del contexto del comercio electrónico actual.</w:t>
      </w:r>
    </w:p>
    <w:p w14:paraId="27E93EFB" w14:textId="77777777" w:rsidR="00653A61" w:rsidRDefault="00653A61">
      <w:pPr>
        <w:jc w:val="both"/>
        <w:rPr>
          <w:rFonts w:ascii="Arial" w:hAnsi="Arial" w:cs="Arial"/>
          <w:color w:val="2E74B5" w:themeColor="accent1" w:themeShade="BF"/>
          <w:sz w:val="24"/>
          <w:szCs w:val="24"/>
        </w:rPr>
      </w:pPr>
    </w:p>
    <w:p w14:paraId="3A21F23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evidencia empírica está sustentada sólidamente por la relación entre las respuestas emocionales y el comportamiento de compra en entornos digitales. Investigaciones previas han demostrado que emociones positivas como el agrado, </w:t>
      </w:r>
      <w:r>
        <w:rPr>
          <w:rFonts w:ascii="Arial" w:hAnsi="Arial" w:cs="Arial"/>
          <w:color w:val="2E74B5" w:themeColor="accent1" w:themeShade="BF"/>
          <w:sz w:val="24"/>
          <w:szCs w:val="24"/>
        </w:rPr>
        <w:lastRenderedPageBreak/>
        <w:t>la satisfacción y el entusiasmo incrementan la probabilidad de compra, la intención de recompra y la fidelidad hacia la plataforma o la marca (Garcés-Giraldo et al. 2022; Lima-Vargas et al. 2022).</w:t>
      </w:r>
    </w:p>
    <w:p w14:paraId="4356B379" w14:textId="77777777" w:rsidR="00653A61" w:rsidRDefault="00653A61">
      <w:pPr>
        <w:jc w:val="both"/>
        <w:rPr>
          <w:rFonts w:ascii="Arial" w:hAnsi="Arial" w:cs="Arial"/>
          <w:color w:val="2E74B5" w:themeColor="accent1" w:themeShade="BF"/>
          <w:sz w:val="24"/>
          <w:szCs w:val="24"/>
        </w:rPr>
      </w:pPr>
    </w:p>
    <w:p w14:paraId="7030145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Específicamente, estudios aplicados dentro del contexto del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señalan que la activación emocional generada por estímulos como descuentos temporales, mensajes de escasez y presentación dinámica de productos provoca en los jóvenes respuestas impulsivas que favorecen decisiones de compra rápidas y poco conscientes o premeditadas (Tan, Y. 2024). Estas respuestas se incrementan en plataformas digitales que utilizan algoritmos de recomendación y estrategias de gamificación, las cuales se relacionan con una experiencia estimulante a nivel emocional, lo cual desencadena que la interacción del usuario sea más constante y duradera.</w:t>
      </w:r>
    </w:p>
    <w:p w14:paraId="7F88BF84" w14:textId="77777777" w:rsidR="00653A61" w:rsidRDefault="00653A61">
      <w:pPr>
        <w:jc w:val="both"/>
        <w:rPr>
          <w:rFonts w:ascii="Arial" w:hAnsi="Arial" w:cs="Arial"/>
          <w:color w:val="2E74B5" w:themeColor="accent1" w:themeShade="BF"/>
          <w:sz w:val="24"/>
          <w:szCs w:val="24"/>
        </w:rPr>
      </w:pPr>
    </w:p>
    <w:p w14:paraId="3C28257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Asimismo, diversos estudios centrados en los jóvenes evidencian que este grupo poblacional responde de manera especialmente positiva a experiencias digitales que combinan estímulos emocionales, personalización y gratificación inmediata. En esta línea, (Valverde et al. 2023) destaca que las emociones juegan un rol central en la construcción de la preferencia de marca, desplazando criterios tradicionales de evaluación como la durabilidad o el origen del producto.</w:t>
      </w:r>
    </w:p>
    <w:p w14:paraId="6B31F91B" w14:textId="77777777" w:rsidR="00653A61" w:rsidRDefault="00653A61">
      <w:pPr>
        <w:jc w:val="both"/>
        <w:rPr>
          <w:rFonts w:ascii="Arial" w:hAnsi="Arial" w:cs="Arial"/>
          <w:color w:val="2E74B5" w:themeColor="accent1" w:themeShade="BF"/>
          <w:sz w:val="24"/>
          <w:szCs w:val="24"/>
        </w:rPr>
      </w:pPr>
    </w:p>
    <w:p w14:paraId="772E677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No obstante, gran parte de estos estudios se han enfocado en analizar los efectos de las respuestas emocionales sobre variables como la intención de compra y la fidelidad hacia plataformas globales, dejando en un segundo plano el análisis de sus implicaciones sobre la percepción y preferencia por marcas locales.</w:t>
      </w:r>
    </w:p>
    <w:p w14:paraId="4A43EE03" w14:textId="77777777" w:rsidR="00653A61" w:rsidRDefault="00653A61">
      <w:pPr>
        <w:jc w:val="both"/>
        <w:rPr>
          <w:rFonts w:ascii="Arial" w:hAnsi="Arial" w:cs="Arial"/>
          <w:color w:val="2E74B5" w:themeColor="accent1" w:themeShade="BF"/>
          <w:sz w:val="24"/>
          <w:szCs w:val="24"/>
        </w:rPr>
      </w:pPr>
    </w:p>
    <w:p w14:paraId="2B0EC25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 pesar del creciente cuerpo de literatura sobre marketing y respuestas emocionales en entornos digitales, se identifican varios vacíos relevantes, la mayoría de las investigaciones se han desarrollado en mercados desarrollados o desde una perspectiva global, existiendo una limitada exploración empírica en contextos latinoamericanos y, particularmente, en ciudades como Bogotá. (Lima-Vargas et al. 2022; Garcés-Giraldo, Bermeo-Giraldo, Valencia-Arias, &amp; Benjumea-Arias 2022; Valverde et al. 2023) Esto ha limitado la comprensión de cómo las dinámicas emocionales asociadas a la experiencia digital se relacionan con el comportamiento de compra en economías emergentes. </w:t>
      </w:r>
    </w:p>
    <w:p w14:paraId="7041F72A" w14:textId="77777777" w:rsidR="00653A61" w:rsidRDefault="00653A61">
      <w:pPr>
        <w:jc w:val="both"/>
        <w:rPr>
          <w:rFonts w:ascii="Arial" w:hAnsi="Arial" w:cs="Arial"/>
          <w:color w:val="2E74B5" w:themeColor="accent1" w:themeShade="BF"/>
          <w:sz w:val="24"/>
          <w:szCs w:val="24"/>
        </w:rPr>
      </w:pPr>
    </w:p>
    <w:p w14:paraId="2DB4009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En particular, en el contexto latinoamericano existe una escasa evidencia empírica que analice la relación entre las respuestas emocionales generadas por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su posible impacto en la preferencia por marcas locales de moda. Esta limitación es especialmente relevante en ciudades como Bogotá, donde el crecimiento del comercio electrónico y la expansión de plataformas globales conviven con un ecosistema de marcas locales que compiten por la atención del consumidor joven. En este sentido, resulta pertinente profundizar en el análisis de estas dinámicas para comprender de qué manera las experiencias emocionales digitales pueden influir en el comportamiento de compra y en la construcción de preferencias de consumo en el mercado local.</w:t>
      </w:r>
    </w:p>
    <w:p w14:paraId="6D8878B3" w14:textId="77777777" w:rsidR="00653A61" w:rsidRDefault="00653A61">
      <w:pPr>
        <w:jc w:val="both"/>
        <w:rPr>
          <w:rFonts w:ascii="Arial" w:hAnsi="Arial" w:cs="Arial"/>
          <w:color w:val="2E74B5" w:themeColor="accent1" w:themeShade="BF"/>
          <w:sz w:val="24"/>
          <w:szCs w:val="24"/>
        </w:rPr>
      </w:pPr>
    </w:p>
    <w:p w14:paraId="278B59E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Por último, se evidencia un vacío, específicamente en la literatura referente al impacto de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sobre las marcas locales, desde un enfoque emocional y experiencial, especialmente en población joven. En este sentido, la presente investigación pretende aportar a este campo a través del análisis de la relación de las respuestas emocionales vinculadas a la experiencia digital y su relación con el comportamiento de compra de los jóvenes bogotanos, investigando y estudiando cómo esto puede influir en su preferencia por marcas locales de moda.</w:t>
      </w:r>
    </w:p>
    <w:p w14:paraId="280585FB" w14:textId="77777777" w:rsidR="00653A61" w:rsidRDefault="00653A61">
      <w:pPr>
        <w:jc w:val="both"/>
        <w:rPr>
          <w:rFonts w:ascii="Arial" w:hAnsi="Arial" w:cs="Arial"/>
          <w:color w:val="2E74B5" w:themeColor="accent1" w:themeShade="BF"/>
          <w:sz w:val="24"/>
          <w:szCs w:val="24"/>
        </w:rPr>
      </w:pPr>
    </w:p>
    <w:p w14:paraId="76F1C07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Este enfoque permite ampliar la comprensión del marketing emocional en contextos digitales emergentes y aportar evidencia empírica relevante para el diseño de estrategias efectivas, orientadas al fortalecimiento de las marcas locales frente a las plataformas globales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Esta visión es fundamental, porque permite explicar cómo las experiencias memorables, la emoción de ser escuchado y la búsqueda de pertenencia se convierten en factores determinantes en el comportamiento de compra de los jóvenes bogotanos. Bajo este aspecto, el marketing emocional deja de ser únicamente un recurso persuasivo y se consolida como un componente central para entender la relación entre las marcas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la forma en que logran atraer y captar este segmento de la población.</w:t>
      </w:r>
    </w:p>
    <w:p w14:paraId="33710CEA" w14:textId="77777777" w:rsidR="00653A61" w:rsidRDefault="00653A61">
      <w:pPr>
        <w:jc w:val="both"/>
        <w:rPr>
          <w:rFonts w:ascii="Arial" w:hAnsi="Arial" w:cs="Arial"/>
          <w:color w:val="2E74B5" w:themeColor="accent1" w:themeShade="BF"/>
          <w:sz w:val="24"/>
          <w:szCs w:val="24"/>
        </w:rPr>
      </w:pPr>
    </w:p>
    <w:p w14:paraId="130940B5"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 xml:space="preserve">1.2 Consideración del concepto de </w:t>
      </w:r>
      <w:proofErr w:type="spellStart"/>
      <w:r>
        <w:rPr>
          <w:rFonts w:ascii="Arial" w:hAnsi="Arial" w:cs="Arial"/>
          <w:b/>
          <w:bCs/>
          <w:i/>
          <w:color w:val="2E74B5" w:themeColor="accent1" w:themeShade="BF"/>
          <w:sz w:val="24"/>
          <w:szCs w:val="24"/>
        </w:rPr>
        <w:t>fast</w:t>
      </w:r>
      <w:proofErr w:type="spellEnd"/>
      <w:r>
        <w:rPr>
          <w:rFonts w:ascii="Arial" w:hAnsi="Arial" w:cs="Arial"/>
          <w:b/>
          <w:bCs/>
          <w:i/>
          <w:color w:val="2E74B5" w:themeColor="accent1" w:themeShade="BF"/>
          <w:sz w:val="24"/>
          <w:szCs w:val="24"/>
        </w:rPr>
        <w:t xml:space="preserve"> </w:t>
      </w:r>
      <w:proofErr w:type="spellStart"/>
      <w:r>
        <w:rPr>
          <w:rFonts w:ascii="Arial" w:hAnsi="Arial" w:cs="Arial"/>
          <w:b/>
          <w:bCs/>
          <w:i/>
          <w:color w:val="2E74B5" w:themeColor="accent1" w:themeShade="BF"/>
          <w:sz w:val="24"/>
          <w:szCs w:val="24"/>
        </w:rPr>
        <w:t>fashion</w:t>
      </w:r>
      <w:proofErr w:type="spellEnd"/>
    </w:p>
    <w:p w14:paraId="65040F1B" w14:textId="77777777" w:rsidR="00653A61" w:rsidRDefault="00653A61">
      <w:pPr>
        <w:jc w:val="both"/>
        <w:rPr>
          <w:rFonts w:ascii="Arial" w:hAnsi="Arial" w:cs="Arial"/>
          <w:color w:val="2E74B5" w:themeColor="accent1" w:themeShade="BF"/>
          <w:sz w:val="24"/>
          <w:szCs w:val="24"/>
        </w:rPr>
      </w:pPr>
    </w:p>
    <w:p w14:paraId="67C4773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Al igual que el concepto de marketing emocional,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ha sido ampliamente abordado en la literatura debido a su creciente influencia en los mercados globales y en los patrones contemporáneos de consumo. Este modelo no solo podría responder a la demanda por inmediatez y renovación constante, sino que también podría incorporar elementos emocionales como parte de sus </w:t>
      </w:r>
      <w:r>
        <w:rPr>
          <w:rFonts w:ascii="Arial" w:hAnsi="Arial" w:cs="Arial"/>
          <w:color w:val="2E74B5" w:themeColor="accent1" w:themeShade="BF"/>
          <w:sz w:val="24"/>
          <w:szCs w:val="24"/>
        </w:rPr>
        <w:lastRenderedPageBreak/>
        <w:t>estrategias de venta, lo que podría influir en el comportamiento y la experiencia del consumidor joven.</w:t>
      </w:r>
    </w:p>
    <w:p w14:paraId="771E7535" w14:textId="77777777" w:rsidR="00653A61" w:rsidRDefault="00653A61">
      <w:pPr>
        <w:jc w:val="both"/>
        <w:rPr>
          <w:rFonts w:ascii="Arial" w:hAnsi="Arial" w:cs="Arial"/>
          <w:color w:val="2E74B5" w:themeColor="accent1" w:themeShade="BF"/>
          <w:sz w:val="24"/>
          <w:szCs w:val="24"/>
        </w:rPr>
      </w:pPr>
    </w:p>
    <w:p w14:paraId="6683789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De acuerdo con el autor (Bunster et al. 2021),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consiste en producir ropa de manera acelerada, renovando colecciones constantemente para así responder a las tendencias emergentes; este fenómeno es conocido en español como “moda rápida”, que ha tenido un crecimiento exponencial reflejado en los patrones de uso y consumo a nivel global. Tal como se aborda en el documental La moda, más allá de la próxima temporada, esta dinámica ha transformado la industria al priorizar la velocidad y la variedad sobre la durabilidad. </w:t>
      </w:r>
    </w:p>
    <w:p w14:paraId="5CB679A5" w14:textId="77777777" w:rsidR="00653A61" w:rsidRDefault="00653A61">
      <w:pPr>
        <w:jc w:val="both"/>
        <w:rPr>
          <w:rFonts w:ascii="Arial" w:hAnsi="Arial" w:cs="Arial"/>
          <w:color w:val="2E74B5" w:themeColor="accent1" w:themeShade="BF"/>
          <w:sz w:val="24"/>
          <w:szCs w:val="24"/>
        </w:rPr>
      </w:pPr>
    </w:p>
    <w:p w14:paraId="5F6596A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 partir de esta perspectiva, (Wei 2023) explica que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se caracteriza por ciclos de producción demasiado cortos y precios bajos, lo que les permite a las empresas lanzar grandes cantidades de prendas en cortos períodos de tiempo, por lo que su éxito radica en la capacidad de captar tendencias y llevarlas rápidamente al mercado, podrían estar relacionadas con una rotación continua de </w:t>
      </w:r>
      <w:proofErr w:type="spellStart"/>
      <w:r>
        <w:rPr>
          <w:rFonts w:ascii="Arial" w:hAnsi="Arial" w:cs="Arial"/>
          <w:color w:val="2E74B5" w:themeColor="accent1" w:themeShade="BF"/>
          <w:sz w:val="24"/>
          <w:szCs w:val="24"/>
        </w:rPr>
        <w:t>productosque</w:t>
      </w:r>
      <w:proofErr w:type="spellEnd"/>
      <w:r>
        <w:rPr>
          <w:rFonts w:ascii="Arial" w:hAnsi="Arial" w:cs="Arial"/>
          <w:color w:val="2E74B5" w:themeColor="accent1" w:themeShade="BF"/>
          <w:sz w:val="24"/>
          <w:szCs w:val="24"/>
        </w:rPr>
        <w:t xml:space="preserve"> estimula un patrón de compra frecuente. </w:t>
      </w:r>
    </w:p>
    <w:p w14:paraId="5750FA67" w14:textId="77777777" w:rsidR="00653A61" w:rsidRDefault="00653A61">
      <w:pPr>
        <w:jc w:val="both"/>
        <w:rPr>
          <w:rFonts w:ascii="Arial" w:hAnsi="Arial" w:cs="Arial"/>
          <w:color w:val="2E74B5" w:themeColor="accent1" w:themeShade="BF"/>
          <w:sz w:val="24"/>
          <w:szCs w:val="24"/>
        </w:rPr>
      </w:pPr>
    </w:p>
    <w:p w14:paraId="58A31FA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concordancia con lo anterior, el medio especializado (E-Commerce </w:t>
      </w:r>
      <w:proofErr w:type="spellStart"/>
      <w:r>
        <w:rPr>
          <w:rFonts w:ascii="Arial" w:hAnsi="Arial" w:cs="Arial"/>
          <w:color w:val="2E74B5" w:themeColor="accent1" w:themeShade="BF"/>
          <w:sz w:val="24"/>
          <w:szCs w:val="24"/>
        </w:rPr>
        <w:t>Database</w:t>
      </w:r>
      <w:proofErr w:type="spellEnd"/>
      <w:r>
        <w:rPr>
          <w:rFonts w:ascii="Arial" w:hAnsi="Arial" w:cs="Arial"/>
          <w:color w:val="2E74B5" w:themeColor="accent1" w:themeShade="BF"/>
          <w:sz w:val="24"/>
          <w:szCs w:val="24"/>
        </w:rPr>
        <w:t xml:space="preserve"> 2024) define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como un modelo de producción acelerada que responde a la lógica de inmediatez digital. En un entorno dominado por redes sociales, </w:t>
      </w:r>
      <w:proofErr w:type="spellStart"/>
      <w:r>
        <w:rPr>
          <w:rFonts w:ascii="Arial" w:hAnsi="Arial" w:cs="Arial"/>
          <w:color w:val="2E74B5" w:themeColor="accent1" w:themeShade="BF"/>
          <w:sz w:val="24"/>
          <w:szCs w:val="24"/>
        </w:rPr>
        <w:t>viralidad</w:t>
      </w:r>
      <w:proofErr w:type="spellEnd"/>
      <w:r>
        <w:rPr>
          <w:rFonts w:ascii="Arial" w:hAnsi="Arial" w:cs="Arial"/>
          <w:color w:val="2E74B5" w:themeColor="accent1" w:themeShade="BF"/>
          <w:sz w:val="24"/>
          <w:szCs w:val="24"/>
        </w:rPr>
        <w:t xml:space="preserve"> y un consumo altamente visual, las marcas se ven obligadas a actualizar constantemente su oferta para mantenerse competitivas. Esta presión por la novedad ha favorecido el surgimiento de plataformas que perfeccionan el modelo desde una lógica completamente digital que les permite dicha renovación continuamente.</w:t>
      </w:r>
    </w:p>
    <w:p w14:paraId="05031D06" w14:textId="77777777" w:rsidR="00653A61" w:rsidRDefault="00653A61">
      <w:pPr>
        <w:jc w:val="both"/>
        <w:rPr>
          <w:rFonts w:ascii="Arial" w:hAnsi="Arial" w:cs="Arial"/>
          <w:color w:val="2E74B5" w:themeColor="accent1" w:themeShade="BF"/>
          <w:sz w:val="24"/>
          <w:szCs w:val="24"/>
        </w:rPr>
      </w:pPr>
    </w:p>
    <w:p w14:paraId="637D153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Bajo esta premisa, han surgido compañías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y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cuya expansión global se basa en su capacidad para producir y comercializar nuevos productos con gran rapidez, manteniendo precios competitivos en el mercado y </w:t>
      </w:r>
      <w:proofErr w:type="spellStart"/>
      <w:r>
        <w:rPr>
          <w:rFonts w:ascii="Arial" w:hAnsi="Arial" w:cs="Arial"/>
          <w:color w:val="2E74B5" w:themeColor="accent1" w:themeShade="BF"/>
          <w:sz w:val="24"/>
          <w:szCs w:val="24"/>
        </w:rPr>
        <w:t>desarrollándo</w:t>
      </w:r>
      <w:proofErr w:type="spellEnd"/>
      <w:r>
        <w:rPr>
          <w:rFonts w:ascii="Arial" w:hAnsi="Arial" w:cs="Arial"/>
          <w:color w:val="2E74B5" w:themeColor="accent1" w:themeShade="BF"/>
          <w:sz w:val="24"/>
          <w:szCs w:val="24"/>
        </w:rPr>
        <w:t xml:space="preserve"> interfaces digitales las cuales están encaminadas a optimizar la experiencia del usuario. Estas marcas no solo replican las dinámicas tradicionales del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sino que las potencian mediante algoritmos, publicidad personalizada y técnicas de persuasión emocional que amplifican su impacto en el consumidor contemporáneo, especialmente en el público joven. De acuerdo con (E-Commerce </w:t>
      </w:r>
      <w:proofErr w:type="spellStart"/>
      <w:r>
        <w:rPr>
          <w:rFonts w:ascii="Arial" w:hAnsi="Arial" w:cs="Arial"/>
          <w:color w:val="2E74B5" w:themeColor="accent1" w:themeShade="BF"/>
          <w:sz w:val="24"/>
          <w:szCs w:val="24"/>
        </w:rPr>
        <w:t>Database</w:t>
      </w:r>
      <w:proofErr w:type="spellEnd"/>
      <w:r>
        <w:rPr>
          <w:rFonts w:ascii="Arial" w:hAnsi="Arial" w:cs="Arial"/>
          <w:color w:val="2E74B5" w:themeColor="accent1" w:themeShade="BF"/>
          <w:sz w:val="24"/>
          <w:szCs w:val="24"/>
        </w:rPr>
        <w:t xml:space="preserve"> 2024</w:t>
      </w:r>
      <w:proofErr w:type="gramStart"/>
      <w:r>
        <w:rPr>
          <w:rFonts w:ascii="Arial" w:hAnsi="Arial" w:cs="Arial"/>
          <w:color w:val="2E74B5" w:themeColor="accent1" w:themeShade="BF"/>
          <w:sz w:val="24"/>
          <w:szCs w:val="24"/>
        </w:rPr>
        <w:t>),  estas</w:t>
      </w:r>
      <w:proofErr w:type="gramEnd"/>
      <w:r>
        <w:rPr>
          <w:rFonts w:ascii="Arial" w:hAnsi="Arial" w:cs="Arial"/>
          <w:color w:val="2E74B5" w:themeColor="accent1" w:themeShade="BF"/>
          <w:sz w:val="24"/>
          <w:szCs w:val="24"/>
        </w:rPr>
        <w:t xml:space="preserve"> plataformas consiguen actualizar sus catálogos en tiempo real, lo que convierte el proceso de compra en una experiencia interactiva donde las tendencias se crean </w:t>
      </w:r>
      <w:proofErr w:type="gramStart"/>
      <w:r>
        <w:rPr>
          <w:rFonts w:ascii="Arial" w:hAnsi="Arial" w:cs="Arial"/>
          <w:color w:val="2E74B5" w:themeColor="accent1" w:themeShade="BF"/>
          <w:sz w:val="24"/>
          <w:szCs w:val="24"/>
        </w:rPr>
        <w:t>y  se</w:t>
      </w:r>
      <w:proofErr w:type="gramEnd"/>
      <w:r>
        <w:rPr>
          <w:rFonts w:ascii="Arial" w:hAnsi="Arial" w:cs="Arial"/>
          <w:color w:val="2E74B5" w:themeColor="accent1" w:themeShade="BF"/>
          <w:sz w:val="24"/>
          <w:szCs w:val="24"/>
        </w:rPr>
        <w:t xml:space="preserve">  consumen de manera acelerada. </w:t>
      </w:r>
    </w:p>
    <w:p w14:paraId="50A4CFDA" w14:textId="77777777" w:rsidR="00653A61" w:rsidRDefault="00653A61">
      <w:pPr>
        <w:jc w:val="both"/>
        <w:rPr>
          <w:rFonts w:ascii="Arial" w:hAnsi="Arial" w:cs="Arial"/>
          <w:color w:val="2E74B5" w:themeColor="accent1" w:themeShade="BF"/>
          <w:sz w:val="24"/>
          <w:szCs w:val="24"/>
        </w:rPr>
      </w:pPr>
    </w:p>
    <w:p w14:paraId="5DC6C05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crecimiento de estas plataformas también se debe a la preferencia progresiva de la población juvenil por prendas asequibles y de moda rápida. Según el informe de mercado de (Kings </w:t>
      </w:r>
      <w:proofErr w:type="spellStart"/>
      <w:r>
        <w:rPr>
          <w:rFonts w:ascii="Arial" w:hAnsi="Arial" w:cs="Arial"/>
          <w:color w:val="2E74B5" w:themeColor="accent1" w:themeShade="BF"/>
          <w:sz w:val="24"/>
          <w:szCs w:val="24"/>
        </w:rPr>
        <w:t>Research</w:t>
      </w:r>
      <w:proofErr w:type="spellEnd"/>
      <w:r>
        <w:rPr>
          <w:rFonts w:ascii="Arial" w:hAnsi="Arial" w:cs="Arial"/>
          <w:color w:val="2E74B5" w:themeColor="accent1" w:themeShade="BF"/>
          <w:sz w:val="24"/>
          <w:szCs w:val="24"/>
        </w:rPr>
        <w:t xml:space="preserve"> </w:t>
      </w:r>
      <w:proofErr w:type="spellStart"/>
      <w:r>
        <w:rPr>
          <w:rFonts w:ascii="Arial" w:hAnsi="Arial" w:cs="Arial"/>
          <w:color w:val="2E74B5" w:themeColor="accent1" w:themeShade="BF"/>
          <w:sz w:val="24"/>
          <w:szCs w:val="24"/>
        </w:rPr>
        <w:t>Antriksh</w:t>
      </w:r>
      <w:proofErr w:type="spellEnd"/>
      <w:r>
        <w:rPr>
          <w:rFonts w:ascii="Arial" w:hAnsi="Arial" w:cs="Arial"/>
          <w:color w:val="2E74B5" w:themeColor="accent1" w:themeShade="BF"/>
          <w:sz w:val="24"/>
          <w:szCs w:val="24"/>
        </w:rPr>
        <w:t xml:space="preserve"> 2024) la población joven global alcanzó los 1,2 mil millones en 2019 y se proyecta que aumentará a 1.300 millones para 2030, impulsando la demanda de ropa económica y en tendencia. Los fabricantes, conscientes de esta realidad, aceleran la producción de prendas inspiradas en las últimas pasarelas para satisfacer este consumo altamente dinámico.</w:t>
      </w:r>
    </w:p>
    <w:p w14:paraId="2CCE1496" w14:textId="77777777" w:rsidR="00653A61" w:rsidRDefault="00653A61">
      <w:pPr>
        <w:jc w:val="both"/>
        <w:rPr>
          <w:rFonts w:ascii="Arial" w:hAnsi="Arial" w:cs="Arial"/>
          <w:color w:val="2E74B5" w:themeColor="accent1" w:themeShade="BF"/>
          <w:sz w:val="24"/>
          <w:szCs w:val="24"/>
        </w:rPr>
      </w:pPr>
    </w:p>
    <w:p w14:paraId="78F89AC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Ejemplos recientes ilustran esta expansión. Según Scayle Commerce </w:t>
      </w:r>
      <w:proofErr w:type="spellStart"/>
      <w:r>
        <w:rPr>
          <w:rFonts w:ascii="Arial" w:hAnsi="Arial" w:cs="Arial"/>
          <w:color w:val="2E74B5" w:themeColor="accent1" w:themeShade="BF"/>
          <w:sz w:val="24"/>
          <w:szCs w:val="24"/>
        </w:rPr>
        <w:t>Engine</w:t>
      </w:r>
      <w:proofErr w:type="spellEnd"/>
      <w:r>
        <w:rPr>
          <w:rFonts w:ascii="Arial" w:hAnsi="Arial" w:cs="Arial"/>
          <w:color w:val="2E74B5" w:themeColor="accent1" w:themeShade="BF"/>
          <w:sz w:val="24"/>
          <w:szCs w:val="24"/>
        </w:rPr>
        <w:t xml:space="preserve"> (2024), la plataforma china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ha registrado un importante crecimiento, registrando cerca de 40,5 millones de descargas a nivel global tan solo un año después de su lanzamiento en 2022. Por su parte,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ha alcanzado 208 millones de descargas entre enero y octubre de 2023, consolidándose como una de las aplicaciones de moda más populares a nivel mundial.</w:t>
      </w:r>
    </w:p>
    <w:p w14:paraId="7457A248" w14:textId="77777777" w:rsidR="00653A61" w:rsidRDefault="00653A61">
      <w:pPr>
        <w:jc w:val="both"/>
        <w:rPr>
          <w:rFonts w:ascii="Arial" w:hAnsi="Arial" w:cs="Arial"/>
          <w:color w:val="2E74B5" w:themeColor="accent1" w:themeShade="BF"/>
          <w:sz w:val="24"/>
          <w:szCs w:val="24"/>
        </w:rPr>
      </w:pPr>
    </w:p>
    <w:p w14:paraId="60F98F1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 importante mencionar que estas plataformas no solo reproducen las dinámicas del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tradicional, sino que potencian su alcance al apoyarse en sistemas algorítmicos, publicidad personalizada y técnicas de persuasión emocional que extienden su impacto en el consumidor contemporáneo, que en este caso, es el segmento joven, adicionalmente logran ofrecer catálogos que se actualizan en tiempo real, apostando así por la rapidez, personalización y los precios bajos, transformando el proceso de compra en una experiencia interactiva, donde las tendencias se relacionan y consumen a un ritmo nunca visto (E-Commerce </w:t>
      </w:r>
      <w:proofErr w:type="spellStart"/>
      <w:r>
        <w:rPr>
          <w:rFonts w:ascii="Arial" w:hAnsi="Arial" w:cs="Arial"/>
          <w:color w:val="2E74B5" w:themeColor="accent1" w:themeShade="BF"/>
          <w:sz w:val="24"/>
          <w:szCs w:val="24"/>
        </w:rPr>
        <w:t>Database</w:t>
      </w:r>
      <w:proofErr w:type="spellEnd"/>
      <w:r>
        <w:rPr>
          <w:rFonts w:ascii="Arial" w:hAnsi="Arial" w:cs="Arial"/>
          <w:color w:val="2E74B5" w:themeColor="accent1" w:themeShade="BF"/>
          <w:sz w:val="24"/>
          <w:szCs w:val="24"/>
        </w:rPr>
        <w:t>, 2024).</w:t>
      </w:r>
    </w:p>
    <w:p w14:paraId="60F2D3E5" w14:textId="77777777" w:rsidR="00653A61" w:rsidRDefault="00653A61">
      <w:pPr>
        <w:jc w:val="both"/>
        <w:rPr>
          <w:rFonts w:ascii="Arial" w:hAnsi="Arial" w:cs="Arial"/>
          <w:color w:val="2E74B5" w:themeColor="accent1" w:themeShade="BF"/>
          <w:sz w:val="24"/>
          <w:szCs w:val="24"/>
        </w:rPr>
      </w:pPr>
    </w:p>
    <w:p w14:paraId="5EB7EC0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Finalmente, en el informe de 2024, "Las nuevas reglas del Marketing: Construyendo marcas genuinas que conecten con la Generación Z” de (Valverde et al. 2023), se afirma que, la tendencia de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refleja las prioridades de la Generación Z, que valora la rapidez, la personalización y las experiencias interactivas. A través de la integración de datos, las herramientas de gamificación y la creación de comunidades digitales, vemos cómo marcas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o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transforman el comercio online.</w:t>
      </w:r>
    </w:p>
    <w:p w14:paraId="50E6C1B4" w14:textId="77777777" w:rsidR="00653A61" w:rsidRDefault="00653A61">
      <w:pPr>
        <w:jc w:val="both"/>
        <w:rPr>
          <w:rFonts w:ascii="Arial" w:hAnsi="Arial" w:cs="Arial"/>
          <w:color w:val="2E74B5" w:themeColor="accent1" w:themeShade="BF"/>
          <w:sz w:val="24"/>
          <w:szCs w:val="24"/>
        </w:rPr>
      </w:pPr>
    </w:p>
    <w:p w14:paraId="3FA1E53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Lo cierto es que la Generación Z busca algo más que productos: busca una conexión auténtica, con contenidos atractivos, inmediatos y visualmente atractivos. Y es en esta combinación de comodidad e implicación emocional donde reside la </w:t>
      </w:r>
      <w:r>
        <w:rPr>
          <w:rFonts w:ascii="Arial" w:hAnsi="Arial" w:cs="Arial"/>
          <w:color w:val="2E74B5" w:themeColor="accent1" w:themeShade="BF"/>
          <w:sz w:val="24"/>
          <w:szCs w:val="24"/>
        </w:rPr>
        <w:lastRenderedPageBreak/>
        <w:t>clave del éxito para las marcas que se posicionan en el mercado global (Valverde et al., 2023) En este sentido, estas plataformas han sabido posicionarse ofreciendo no solo prendas accesibles, sino también experiencias digitales que conectan emocionalmente con este público.</w:t>
      </w:r>
    </w:p>
    <w:p w14:paraId="40E34C1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este contexto, la consolidación de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digitales no solo ha transformado la estructura de la oferta y la dinámica del mercado, sino también la forma en que los consumidores interactúan con las marcas y toman decisiones de compra. La combinación de rapidez, estímulos emocionales, personalización y gratificación inmediata configura un entorno que se relaciona directamente en los procesos de decisión del consumidor, particularmente en el segmento joven. Por ello, para comprender el impacto de este modelo en el consumo juvenil, resulta necesario analizar el comportamiento de compra que se manifiesta en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aspecto que se aborda en el siguiente apartado.</w:t>
      </w:r>
    </w:p>
    <w:p w14:paraId="6AEBEC45" w14:textId="77777777" w:rsidR="00653A61" w:rsidRDefault="00653A61">
      <w:pPr>
        <w:jc w:val="both"/>
        <w:rPr>
          <w:rFonts w:ascii="Arial" w:hAnsi="Arial" w:cs="Arial"/>
          <w:b/>
          <w:bCs/>
          <w:color w:val="2E74B5" w:themeColor="accent1" w:themeShade="BF"/>
          <w:sz w:val="24"/>
          <w:szCs w:val="24"/>
        </w:rPr>
      </w:pPr>
    </w:p>
    <w:p w14:paraId="77D3F6F1" w14:textId="77777777" w:rsidR="00653A61" w:rsidRDefault="00563720">
      <w:pPr>
        <w:rPr>
          <w:rFonts w:ascii="Arial" w:hAnsi="Arial" w:cs="Arial"/>
          <w:b/>
          <w:bCs/>
          <w:color w:val="2E74B5" w:themeColor="accent1" w:themeShade="BF"/>
          <w:sz w:val="24"/>
          <w:szCs w:val="24"/>
        </w:rPr>
      </w:pPr>
      <w:r>
        <w:rPr>
          <w:rFonts w:ascii="Arial" w:hAnsi="Arial" w:cs="Arial"/>
          <w:b/>
          <w:bCs/>
          <w:color w:val="2E74B5" w:themeColor="accent1" w:themeShade="BF"/>
          <w:sz w:val="24"/>
          <w:szCs w:val="24"/>
        </w:rPr>
        <w:t xml:space="preserve">1.2.1 Comportamiento de compra en plataformas de </w:t>
      </w:r>
      <w:proofErr w:type="spellStart"/>
      <w:r>
        <w:rPr>
          <w:rFonts w:ascii="Arial" w:hAnsi="Arial" w:cs="Arial"/>
          <w:b/>
          <w:bCs/>
          <w:i/>
          <w:color w:val="2E74B5" w:themeColor="accent1" w:themeShade="BF"/>
          <w:sz w:val="24"/>
          <w:szCs w:val="24"/>
        </w:rPr>
        <w:t>fast</w:t>
      </w:r>
      <w:proofErr w:type="spellEnd"/>
      <w:r>
        <w:rPr>
          <w:rFonts w:ascii="Arial" w:hAnsi="Arial" w:cs="Arial"/>
          <w:b/>
          <w:bCs/>
          <w:i/>
          <w:color w:val="2E74B5" w:themeColor="accent1" w:themeShade="BF"/>
          <w:sz w:val="24"/>
          <w:szCs w:val="24"/>
        </w:rPr>
        <w:t xml:space="preserve"> </w:t>
      </w:r>
      <w:proofErr w:type="spellStart"/>
      <w:r>
        <w:rPr>
          <w:rFonts w:ascii="Arial" w:hAnsi="Arial" w:cs="Arial"/>
          <w:b/>
          <w:bCs/>
          <w:i/>
          <w:color w:val="2E74B5" w:themeColor="accent1" w:themeShade="BF"/>
          <w:sz w:val="24"/>
          <w:szCs w:val="24"/>
        </w:rPr>
        <w:t>fashion</w:t>
      </w:r>
      <w:proofErr w:type="spellEnd"/>
    </w:p>
    <w:p w14:paraId="19B580B3" w14:textId="77777777" w:rsidR="00653A61" w:rsidRDefault="00653A61">
      <w:pPr>
        <w:jc w:val="both"/>
        <w:rPr>
          <w:rFonts w:ascii="Arial" w:hAnsi="Arial" w:cs="Arial"/>
          <w:color w:val="2E74B5" w:themeColor="accent1" w:themeShade="BF"/>
          <w:sz w:val="24"/>
          <w:szCs w:val="24"/>
        </w:rPr>
      </w:pPr>
    </w:p>
    <w:p w14:paraId="6317245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El comportamiento de compra ha sido tradicionalmente definido en la literatura del marketing como el conjunto de procesos mentales, emocionales y conductuales que los consumidores desarrollan al identificar una necesidad, evaluar alternativas y adquirir bienes o servicios. En contextos digitales, este comportamiento adquiere particularidades específicas, dado que la interacción con la marca se produce a través de plataformas tecnológicas que median la experiencia de consumo (Hernández-Sampieri &amp; Mendoza 2020).</w:t>
      </w:r>
    </w:p>
    <w:p w14:paraId="09D96111" w14:textId="77777777" w:rsidR="00653A61" w:rsidRDefault="00653A61">
      <w:pPr>
        <w:jc w:val="both"/>
        <w:rPr>
          <w:rFonts w:ascii="Arial" w:hAnsi="Arial" w:cs="Arial"/>
          <w:color w:val="2E74B5" w:themeColor="accent1" w:themeShade="BF"/>
          <w:sz w:val="24"/>
          <w:szCs w:val="24"/>
        </w:rPr>
      </w:pPr>
    </w:p>
    <w:p w14:paraId="736D85A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Diversos autores coinciden en que el comportamiento de compra en entornos de comercio electrónico no responde exclusivamente a decisiones racionales sustentadas en el precio o la funcionalidad del producto, sino que se ve influenciado por factores emocionales, contextuales y experienciales que se activan durante la navegación digital (Garcés-Giraldo, Bermeo-Giraldo, Valencia-Arias, Benjumea-Arias, et al. 2022). En este sentido, elementos como la facilidad de uso de la plataforma, la disponibilidad inmediata del producto, la personalización del contenido y la percepción de valor se relaciona de manera directa en la disposición del consumidor a comprar.</w:t>
      </w:r>
    </w:p>
    <w:p w14:paraId="4BACD4D2" w14:textId="77777777" w:rsidR="00653A61" w:rsidRDefault="00653A61">
      <w:pPr>
        <w:jc w:val="both"/>
        <w:rPr>
          <w:rFonts w:ascii="Arial" w:hAnsi="Arial" w:cs="Arial"/>
          <w:color w:val="2E74B5" w:themeColor="accent1" w:themeShade="BF"/>
          <w:sz w:val="24"/>
          <w:szCs w:val="24"/>
        </w:rPr>
      </w:pPr>
    </w:p>
    <w:p w14:paraId="406D5A06" w14:textId="77777777" w:rsidR="00653A61" w:rsidRDefault="00563720">
      <w:pPr>
        <w:jc w:val="both"/>
        <w:rPr>
          <w:rFonts w:ascii="Arial" w:hAnsi="Arial" w:cs="Arial"/>
          <w:color w:val="2E74B5" w:themeColor="accent1" w:themeShade="BF"/>
          <w:sz w:val="24"/>
          <w:szCs w:val="24"/>
        </w:rPr>
      </w:pPr>
      <w:proofErr w:type="gramStart"/>
      <w:r>
        <w:rPr>
          <w:rFonts w:ascii="Arial" w:hAnsi="Arial" w:cs="Arial"/>
          <w:color w:val="2E74B5" w:themeColor="accent1" w:themeShade="BF"/>
          <w:sz w:val="24"/>
          <w:szCs w:val="24"/>
        </w:rPr>
        <w:t>En  lo</w:t>
      </w:r>
      <w:proofErr w:type="gramEnd"/>
      <w:r>
        <w:rPr>
          <w:rFonts w:ascii="Arial" w:hAnsi="Arial" w:cs="Arial"/>
          <w:color w:val="2E74B5" w:themeColor="accent1" w:themeShade="BF"/>
          <w:sz w:val="24"/>
          <w:szCs w:val="24"/>
        </w:rPr>
        <w:t xml:space="preserve"> que concierne a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el comportamiento de compra se caracteriza por su dinamismo, frecuencia y orientación a la </w:t>
      </w:r>
      <w:r>
        <w:rPr>
          <w:rFonts w:ascii="Arial" w:hAnsi="Arial" w:cs="Arial"/>
          <w:color w:val="2E74B5" w:themeColor="accent1" w:themeShade="BF"/>
          <w:sz w:val="24"/>
          <w:szCs w:val="24"/>
        </w:rPr>
        <w:lastRenderedPageBreak/>
        <w:t xml:space="preserve">inmediatez. Estas plataformas favorecen procesos de decisión acelerados, impulsados por estímulos visuales, promociones con límite de tiempo y narrativas de urgencia, lo que reduce el tiempo de toma de decisión del consumidor </w:t>
      </w:r>
      <w:proofErr w:type="gramStart"/>
      <w:r>
        <w:rPr>
          <w:rFonts w:ascii="Arial" w:hAnsi="Arial" w:cs="Arial"/>
          <w:color w:val="2E74B5" w:themeColor="accent1" w:themeShade="BF"/>
          <w:sz w:val="24"/>
          <w:szCs w:val="24"/>
        </w:rPr>
        <w:t>y  propicia</w:t>
      </w:r>
      <w:proofErr w:type="gramEnd"/>
      <w:r>
        <w:rPr>
          <w:rFonts w:ascii="Arial" w:hAnsi="Arial" w:cs="Arial"/>
          <w:color w:val="2E74B5" w:themeColor="accent1" w:themeShade="BF"/>
          <w:sz w:val="24"/>
          <w:szCs w:val="24"/>
        </w:rPr>
        <w:t xml:space="preserve"> comportamientos de compra recurrente.</w:t>
      </w:r>
    </w:p>
    <w:p w14:paraId="3E237AF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Desde un enfoque teórico, múltiples modelos han explicado el comportamiento de compra del consumidor en entornos digitales. Entre ellos, el enfoque estímulo, organismo, respuesta (SOR), derivado del modelo PAD de (Mehrabian &amp; Russell 1974) ha sido ampliamente aplicado para comprender cómo los estímulos del entorno digital podrían estar relacionados con respuestas emocionales que derivan en comportamientos concretos de compra.</w:t>
      </w:r>
    </w:p>
    <w:p w14:paraId="72300C19" w14:textId="77777777" w:rsidR="00653A61" w:rsidRDefault="00653A61">
      <w:pPr>
        <w:jc w:val="both"/>
        <w:rPr>
          <w:rFonts w:ascii="Arial" w:hAnsi="Arial" w:cs="Arial"/>
          <w:color w:val="2E74B5" w:themeColor="accent1" w:themeShade="BF"/>
          <w:sz w:val="24"/>
          <w:szCs w:val="24"/>
        </w:rPr>
      </w:pPr>
    </w:p>
    <w:p w14:paraId="384CFCC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 acuerdo con este enfoque, los estímulos presentes en la plataforma, tales como el diseño visual, promociones, mensajes de impacto, recomendaciones, se relacionan directamente con el estado interno del consumidor, lo cual incluye emociones, actitudes, percepciones, que finalmente se traducen en respuestas conductuales como la intención de compra, la recompra o la preferencia por el canal digital.</w:t>
      </w:r>
    </w:p>
    <w:p w14:paraId="7C8AA5D3" w14:textId="77777777" w:rsidR="00653A61" w:rsidRDefault="00653A61">
      <w:pPr>
        <w:jc w:val="both"/>
        <w:rPr>
          <w:rFonts w:ascii="Arial" w:hAnsi="Arial" w:cs="Arial"/>
          <w:color w:val="2E74B5" w:themeColor="accent1" w:themeShade="BF"/>
          <w:sz w:val="24"/>
          <w:szCs w:val="24"/>
        </w:rPr>
      </w:pPr>
    </w:p>
    <w:p w14:paraId="6E0884B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Asimismo, (Hellier et al. 2003) señalan que la intención de recompra es uno de los indicadores más utilizados para analizar el comportamiento de compra, ya que refleja la evaluación global que realiza el consumidor sobre su experiencia previa. Esta perspectiva es particularmente importante en el análisis de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donde la recurrencia y la lealtad hacia el canal digital son indicadores clave del éxito de estas plataformas.</w:t>
      </w:r>
    </w:p>
    <w:p w14:paraId="57D749A6" w14:textId="77777777" w:rsidR="00653A61" w:rsidRDefault="00653A61">
      <w:pPr>
        <w:jc w:val="both"/>
        <w:rPr>
          <w:rFonts w:ascii="Arial" w:hAnsi="Arial" w:cs="Arial"/>
          <w:color w:val="2E74B5" w:themeColor="accent1" w:themeShade="BF"/>
          <w:sz w:val="24"/>
          <w:szCs w:val="24"/>
        </w:rPr>
      </w:pPr>
    </w:p>
    <w:p w14:paraId="79314CE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contextos digitales, el comportamiento de compra también ha sido explicado a partir de variables como la frecuencia de compra, la preferencia de canal y la percepción de conveniencia, las cuales permiten capturar la conducta observable del consumidor frente a opciones digitales y tradicionales (Lima-Vargas et al. 2022).</w:t>
      </w:r>
    </w:p>
    <w:p w14:paraId="73612851" w14:textId="77777777" w:rsidR="00653A61" w:rsidRDefault="00653A61">
      <w:pPr>
        <w:jc w:val="both"/>
        <w:rPr>
          <w:rFonts w:ascii="Arial" w:hAnsi="Arial" w:cs="Arial"/>
          <w:color w:val="2E74B5" w:themeColor="accent1" w:themeShade="BF"/>
          <w:sz w:val="24"/>
          <w:szCs w:val="24"/>
        </w:rPr>
      </w:pPr>
    </w:p>
    <w:p w14:paraId="71548DF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evidencia empírica demuestra que el comportamiento de compra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está influenciado por estímulos emocionales y contextuales propios del entorno digital. Estudios previos han demostrado que los consumidores jóvenes presentan una mayor propensión a realizar compras frecuentes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debido a la combinación de precios accesibles, variedad constante y experiencias digitales altamente estimulantes (Liu, 2022; Garcés-Giraldo et al., 2022).</w:t>
      </w:r>
    </w:p>
    <w:p w14:paraId="53D6C472" w14:textId="77777777" w:rsidR="00653A61" w:rsidRDefault="00653A61">
      <w:pPr>
        <w:jc w:val="both"/>
        <w:rPr>
          <w:rFonts w:ascii="Arial" w:hAnsi="Arial" w:cs="Arial"/>
          <w:color w:val="2E74B5" w:themeColor="accent1" w:themeShade="BF"/>
          <w:sz w:val="24"/>
          <w:szCs w:val="24"/>
        </w:rPr>
      </w:pPr>
    </w:p>
    <w:p w14:paraId="713B3E8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(Tan, Y. 2024) señala que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incorporan estrategias orientadas a incrementar la activación emocional, tales como ofertas limitadas, descuentos personalizados y recomendaciones dinámicas, las cuales favorecen comportamientos de compra impulsiva y reducen los procesos de evaluación racional. Estas prácticas han sido asociadas con un incremento significativo en la intención de recompra y en la preferencia por el canal digital frente a alternativas tradicionales.</w:t>
      </w:r>
    </w:p>
    <w:p w14:paraId="08DA9737" w14:textId="77777777" w:rsidR="00653A61" w:rsidRDefault="00653A61">
      <w:pPr>
        <w:jc w:val="both"/>
        <w:rPr>
          <w:rFonts w:ascii="Arial" w:hAnsi="Arial" w:cs="Arial"/>
          <w:color w:val="2E74B5" w:themeColor="accent1" w:themeShade="BF"/>
          <w:sz w:val="24"/>
          <w:szCs w:val="24"/>
        </w:rPr>
      </w:pPr>
    </w:p>
    <w:p w14:paraId="44E7C84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Por su parte, investigaciones centradas en los jóvenes evidencian que este grupo poblacional muestra una fuerte afinidad hacia experiencias de compra que ofrecen gratificación inmediata, facilidad de acceso y personalización. (Lima-Vargas et al. 2022) concluyen que la experiencia digital se configura como un factor determinante del comportamiento de compra, influyendo no solo en la decisión inicial, sino también en la continuidad del consumo.</w:t>
      </w:r>
    </w:p>
    <w:p w14:paraId="0AFA7D6C" w14:textId="77777777" w:rsidR="00653A61" w:rsidRDefault="00653A61">
      <w:pPr>
        <w:jc w:val="both"/>
        <w:rPr>
          <w:rFonts w:ascii="Arial" w:hAnsi="Arial" w:cs="Arial"/>
          <w:color w:val="2E74B5" w:themeColor="accent1" w:themeShade="BF"/>
          <w:sz w:val="24"/>
          <w:szCs w:val="24"/>
        </w:rPr>
      </w:pPr>
    </w:p>
    <w:p w14:paraId="46AA4BD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Pese al gran interés académico por el comportamiento de compra en entornos digitales, se han identificado vacíos en la literatura. La mayoría de los estudios se desarrollan en contextos globales o en mercados desarrollados, lo que limita la comprensión del comportamiento de compra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y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en contextos latinoamericanos y emergentes, como el de la ciudad de Bogotá.</w:t>
      </w:r>
    </w:p>
    <w:p w14:paraId="0E2D1689" w14:textId="77777777" w:rsidR="00653A61" w:rsidRDefault="00653A61">
      <w:pPr>
        <w:jc w:val="both"/>
        <w:rPr>
          <w:rFonts w:ascii="Arial" w:hAnsi="Arial" w:cs="Arial"/>
          <w:color w:val="2E74B5" w:themeColor="accent1" w:themeShade="BF"/>
          <w:sz w:val="24"/>
          <w:szCs w:val="24"/>
        </w:rPr>
      </w:pPr>
    </w:p>
    <w:p w14:paraId="72C6308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Así mismo, se evidencia una limitada producción de investigaciones científicas que sobre el comportamiento de compra juvenil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desde una perspectiva comparativa, considerando su impacto sobre las marcas locales. Teniendo en cuenta esto, la presente investigación busca aportar al campo objeto </w:t>
      </w:r>
      <w:proofErr w:type="gramStart"/>
      <w:r>
        <w:rPr>
          <w:rFonts w:ascii="Arial" w:hAnsi="Arial" w:cs="Arial"/>
          <w:color w:val="2E74B5" w:themeColor="accent1" w:themeShade="BF"/>
          <w:sz w:val="24"/>
          <w:szCs w:val="24"/>
        </w:rPr>
        <w:t>de  estudio</w:t>
      </w:r>
      <w:proofErr w:type="gramEnd"/>
      <w:r>
        <w:rPr>
          <w:rFonts w:ascii="Arial" w:hAnsi="Arial" w:cs="Arial"/>
          <w:color w:val="2E74B5" w:themeColor="accent1" w:themeShade="BF"/>
          <w:sz w:val="24"/>
          <w:szCs w:val="24"/>
        </w:rPr>
        <w:t>, mediante el análisis del comportamiento de compra como variable intermedia, con el fin de explicar la relación existente entre las respuestas emocionales asociadas a la experiencia digital y la preferencia por marcas locales de moda en jóvenes bogotanos.</w:t>
      </w:r>
    </w:p>
    <w:p w14:paraId="38418690" w14:textId="77777777" w:rsidR="00653A61" w:rsidRDefault="00653A61">
      <w:pPr>
        <w:jc w:val="both"/>
        <w:rPr>
          <w:rFonts w:ascii="Arial" w:hAnsi="Arial" w:cs="Arial"/>
          <w:color w:val="2E74B5" w:themeColor="accent1" w:themeShade="BF"/>
          <w:sz w:val="24"/>
          <w:szCs w:val="24"/>
        </w:rPr>
      </w:pPr>
    </w:p>
    <w:p w14:paraId="44D4072C"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1.3 Consideración del contexto de juventud en Colombia</w:t>
      </w:r>
    </w:p>
    <w:p w14:paraId="1523FA0E" w14:textId="77777777" w:rsidR="00653A61" w:rsidRDefault="00653A61">
      <w:pPr>
        <w:jc w:val="both"/>
        <w:rPr>
          <w:rFonts w:ascii="Arial" w:hAnsi="Arial" w:cs="Arial"/>
          <w:b/>
          <w:bCs/>
          <w:color w:val="2E74B5" w:themeColor="accent1" w:themeShade="BF"/>
          <w:sz w:val="24"/>
          <w:szCs w:val="24"/>
        </w:rPr>
      </w:pPr>
    </w:p>
    <w:p w14:paraId="203CA11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Según el boletín más reciente del (DANE 2024) sobre el mercado laboral juvenil, para el año 2024 la población joven entre 15 y 28 años en Colombia se estimó en </w:t>
      </w:r>
      <w:r>
        <w:rPr>
          <w:rFonts w:ascii="Arial" w:hAnsi="Arial" w:cs="Arial"/>
          <w:color w:val="2E74B5" w:themeColor="accent1" w:themeShade="BF"/>
          <w:sz w:val="24"/>
          <w:szCs w:val="24"/>
        </w:rPr>
        <w:lastRenderedPageBreak/>
        <w:t>11.152.000 personas, una cifra que evidencia el peso demográfico de este grupo dentro de la estructura poblacional del país. Este segmento no solo representa una proporción significativa de la población total, sino que también constituye un motor activo dentro de las dinámicas económicas, sociales y culturales contemporáneas. Su tamaño, junto con su creciente participación en entornos digitales, lo convierte en un grupo poblacional estratégico para comprender las tendencias actuales de consumo en Bogotá.</w:t>
      </w:r>
    </w:p>
    <w:p w14:paraId="50FD879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Asimismo, el DANE indica que la población joven se encuentra influenciada por los constantes cambios y avances tecnológicos, la conectividad permanente y la digitalización del mercado; estos factores han modificado sus hábitos de compra, sus expectativas frente a las marcas y la forma en que interactúan con su entorno económico. En este sentido, el análisis de este grupo resulta fundamental para esta investigación, que aborda fenómenos como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el consumo impulsado por estímulos emocionales. En conjunto, estos elementos demuestran la importancia de la juventud colombiana como un segmento poblacional determinante en el establecimiento de los patrones de consumo actuales y futuros.</w:t>
      </w:r>
    </w:p>
    <w:p w14:paraId="29476C38" w14:textId="77777777" w:rsidR="00653A61" w:rsidRDefault="00653A61">
      <w:pPr>
        <w:jc w:val="both"/>
        <w:rPr>
          <w:rFonts w:ascii="Arial" w:hAnsi="Arial" w:cs="Arial"/>
          <w:color w:val="2E74B5" w:themeColor="accent1" w:themeShade="BF"/>
          <w:sz w:val="24"/>
          <w:szCs w:val="24"/>
        </w:rPr>
      </w:pPr>
    </w:p>
    <w:p w14:paraId="340F7B4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concordancia con lo anterior, (</w:t>
      </w:r>
      <w:proofErr w:type="spellStart"/>
      <w:r>
        <w:rPr>
          <w:rFonts w:ascii="Arial" w:hAnsi="Arial" w:cs="Arial"/>
          <w:color w:val="2E74B5" w:themeColor="accent1" w:themeShade="BF"/>
          <w:sz w:val="24"/>
          <w:szCs w:val="24"/>
        </w:rPr>
        <w:t>Mărginean</w:t>
      </w:r>
      <w:proofErr w:type="spellEnd"/>
      <w:r>
        <w:rPr>
          <w:rFonts w:ascii="Arial" w:hAnsi="Arial" w:cs="Arial"/>
          <w:color w:val="2E74B5" w:themeColor="accent1" w:themeShade="BF"/>
          <w:sz w:val="24"/>
          <w:szCs w:val="24"/>
        </w:rPr>
        <w:t xml:space="preserve"> 2021) señala que los jóvenes actuales pertenecen a la Generación Z, la cual ha crecido en una sociedad digitalizada, lo que ha influido en la forma de comunicarse, percibir el mundo y relacionarse con su entorno. Esta generación se caracteriza por su interacción constante con dispositivos inteligentes, internet y redes sociales, desarrollando así una mentalidad orientada al progreso, en la que la toma de decisiones importantes está acompañada de una visión a largo plazo y la búsqueda continua de superación personal.</w:t>
      </w:r>
    </w:p>
    <w:p w14:paraId="50FA4CCE" w14:textId="77777777" w:rsidR="00653A61" w:rsidRDefault="00653A61">
      <w:pPr>
        <w:jc w:val="both"/>
        <w:rPr>
          <w:rFonts w:ascii="Arial" w:hAnsi="Arial" w:cs="Arial"/>
          <w:color w:val="2E74B5" w:themeColor="accent1" w:themeShade="BF"/>
          <w:sz w:val="24"/>
          <w:szCs w:val="24"/>
        </w:rPr>
      </w:pPr>
    </w:p>
    <w:p w14:paraId="2D61632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 acuerdo con esta perspectiva, se infiere que los jóvenes actuales pertenecen a la Generación Z. Si bien no existe un consenso absoluto sobre los años exactos que delimitan esta generación, la mayoría de las fuentes coinciden en incluir a quienes nacieron después de 1995. No obstante, otros estudios amplían este rango a quienes    nacieron después de 1996, 1997 o incluso 1998 (Jayatissa, 2023) Esta variación en las fechas refleja la complejidad de definir generaciones que se encuentran profundamente influenciadas por avances tecnológicos y transformaciones sociales aceleradas.</w:t>
      </w:r>
    </w:p>
    <w:p w14:paraId="0C250990" w14:textId="77777777" w:rsidR="00653A61" w:rsidRDefault="00653A61">
      <w:pPr>
        <w:jc w:val="both"/>
        <w:rPr>
          <w:rFonts w:ascii="Arial" w:hAnsi="Arial" w:cs="Arial"/>
          <w:color w:val="2E74B5" w:themeColor="accent1" w:themeShade="BF"/>
          <w:sz w:val="24"/>
          <w:szCs w:val="24"/>
        </w:rPr>
      </w:pPr>
    </w:p>
    <w:p w14:paraId="03EC969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este mismo sentido (Lima-Vargas et al. 2022), menciona que, los jóvenes de esta generación valoran más las experiencias, por lo que la personalización se convierte en un elemento fundamental dentro de sus preferencias de consumo. La </w:t>
      </w:r>
      <w:r>
        <w:rPr>
          <w:rFonts w:ascii="Arial" w:hAnsi="Arial" w:cs="Arial"/>
          <w:color w:val="2E74B5" w:themeColor="accent1" w:themeShade="BF"/>
          <w:sz w:val="24"/>
          <w:szCs w:val="24"/>
        </w:rPr>
        <w:lastRenderedPageBreak/>
        <w:t>marcada afinidad tecnológica de la Generación Z constituye una de sus características distintivas es la integración natural de las redes sociales en su vida cotidiana; plataformas digitales que utilizan para compartir experiencias, buscar recomendaciones y generar contenido. Este comportamiento los ha llevado, incluso, a convertirse en voceros informales de marcas, promoviendo productos y servicios de manera espontánea ante sus comunidades digitales.</w:t>
      </w:r>
    </w:p>
    <w:p w14:paraId="265A821D" w14:textId="77777777" w:rsidR="00653A61" w:rsidRDefault="00653A61">
      <w:pPr>
        <w:jc w:val="both"/>
        <w:rPr>
          <w:rFonts w:ascii="Arial" w:hAnsi="Arial" w:cs="Arial"/>
          <w:color w:val="2E74B5" w:themeColor="accent1" w:themeShade="BF"/>
          <w:sz w:val="24"/>
          <w:szCs w:val="24"/>
        </w:rPr>
      </w:pPr>
    </w:p>
    <w:p w14:paraId="793E692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este contexto, las marcas enfrentan el reto de comprender y adaptarse a las exigencias cambiantes de esta generación, que valora la transparencia, la sostenibilidad, la inmediatez y la conexión emocional con las marcas mismas. Además, deben enfocarse en sus hábitos de consumo digital, preferencias de contenido y expectativas de personalización lo cual es esencial para atraer y fidelizar a una audiencia cada vez más informada, crítica y exigente (Valverde et al., 2023).</w:t>
      </w:r>
    </w:p>
    <w:p w14:paraId="6A54D61B" w14:textId="77777777" w:rsidR="00653A61" w:rsidRDefault="00653A61">
      <w:pPr>
        <w:jc w:val="both"/>
        <w:rPr>
          <w:rFonts w:ascii="Arial" w:hAnsi="Arial" w:cs="Arial"/>
          <w:color w:val="2E74B5" w:themeColor="accent1" w:themeShade="BF"/>
          <w:sz w:val="24"/>
          <w:szCs w:val="24"/>
        </w:rPr>
      </w:pPr>
    </w:p>
    <w:p w14:paraId="53A6BB06"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1.3.1 Preferencia de los jóvenes por marcas locales de moda</w:t>
      </w:r>
    </w:p>
    <w:p w14:paraId="3E61C0A1" w14:textId="77777777" w:rsidR="00653A61" w:rsidRDefault="00653A61">
      <w:pPr>
        <w:jc w:val="both"/>
        <w:rPr>
          <w:rFonts w:ascii="Arial" w:hAnsi="Arial" w:cs="Arial"/>
          <w:color w:val="2E74B5" w:themeColor="accent1" w:themeShade="BF"/>
          <w:sz w:val="24"/>
          <w:szCs w:val="24"/>
        </w:rPr>
      </w:pPr>
    </w:p>
    <w:p w14:paraId="4727A61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preferencia de marca ha sido ampliamente estudiada en la literatura del marketing como un constructo que refleja la inclinación del consumidor hacia una marca específica frente a otras alternativas disponibles en el mercado. Esta preferencia se construye a partir de evaluaciones cognitivas y emocionales que el consumidor realiza sobre atributos como la calidad percibida, el valor, la confianza y la identificación con la marca (Zeithaml 1988). En este sentido, la preferencia de marca representa una manifestación del vínculo que se establece entre el consumidor y la oferta, relacionándose directamente en la elección de compra.</w:t>
      </w:r>
    </w:p>
    <w:p w14:paraId="571BDD1B" w14:textId="77777777" w:rsidR="00653A61" w:rsidRDefault="00653A61">
      <w:pPr>
        <w:jc w:val="both"/>
        <w:rPr>
          <w:rFonts w:ascii="Arial" w:hAnsi="Arial" w:cs="Arial"/>
          <w:color w:val="2E74B5" w:themeColor="accent1" w:themeShade="BF"/>
          <w:sz w:val="24"/>
          <w:szCs w:val="24"/>
        </w:rPr>
      </w:pPr>
    </w:p>
    <w:p w14:paraId="62FE2E5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Cuando se analiza la preferencia por marcas locales, este constructo incluye dimensiones adicionales relacionadas al origen de la marca, la cercanía, la identidad y la percepción de autenticidad. La literatura indica que las marcas locales pueden generar un mayor sentido de pertenencia y conexión simbólica con los consumidores, al estar asociadas con valores culturales y sociales propios del contexto en el que operan (Hellier et al. 2003). Esta conexión resulta relevante en mercados en los que conviven marcas globales y locales dentro de un mismo sector.</w:t>
      </w:r>
    </w:p>
    <w:p w14:paraId="4C44E87E" w14:textId="77777777" w:rsidR="00653A61" w:rsidRDefault="00653A61">
      <w:pPr>
        <w:jc w:val="both"/>
        <w:rPr>
          <w:rFonts w:ascii="Arial" w:hAnsi="Arial" w:cs="Arial"/>
          <w:color w:val="2E74B5" w:themeColor="accent1" w:themeShade="BF"/>
          <w:sz w:val="24"/>
          <w:szCs w:val="24"/>
        </w:rPr>
      </w:pPr>
    </w:p>
    <w:p w14:paraId="0A9813A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el caso de los jóvenes, la preferencia por marcas locales se ve influenciada por factores emocionales, experienciales y contextuales. Este grupo poblacional tiende a valorar la identidad, la autenticidad y la coherencia simbólica de las marcas, lo </w:t>
      </w:r>
      <w:r>
        <w:rPr>
          <w:rFonts w:ascii="Arial" w:hAnsi="Arial" w:cs="Arial"/>
          <w:color w:val="2E74B5" w:themeColor="accent1" w:themeShade="BF"/>
          <w:sz w:val="24"/>
          <w:szCs w:val="24"/>
        </w:rPr>
        <w:lastRenderedPageBreak/>
        <w:t>que podría favorecer la inclinación hacia propuestas locales cuando estas logran conectar con sus valores y expectativas (Valverde et al. 2023).</w:t>
      </w:r>
    </w:p>
    <w:p w14:paraId="0736940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Desde un enfoque teórico, diversos modelos han contribuido a la comprensión de la preferencia de marca y su relación con el comportamiento de compra. El modelo de valor percibido propuesto por (Zeithaml 1988) plantea que la preferencia del consumidor se deriva de la evaluación global que este realiza sobre los beneficios y sacrificios asociados a una marca, integrando componentes funcionales, emocionales y simbólicos.</w:t>
      </w:r>
    </w:p>
    <w:p w14:paraId="53D9D0BF" w14:textId="77777777" w:rsidR="00653A61" w:rsidRDefault="00653A61">
      <w:pPr>
        <w:jc w:val="both"/>
        <w:rPr>
          <w:rFonts w:ascii="Arial" w:hAnsi="Arial" w:cs="Arial"/>
          <w:color w:val="2E74B5" w:themeColor="accent1" w:themeShade="BF"/>
          <w:sz w:val="24"/>
          <w:szCs w:val="24"/>
        </w:rPr>
      </w:pPr>
    </w:p>
    <w:p w14:paraId="662A010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Por su parte, (Hellier et al. 2003) destacan la preferencia de marca como un antecedente clave de la intención de recompra, señalando que esta se construye a partir de la experiencia acumulada del consumidor y de su nivel de satisfacción previa. En este sentido, la preferencia no se limita a una elección puntual, sino que refleja una disposición estable hacia la marca.</w:t>
      </w:r>
    </w:p>
    <w:p w14:paraId="747775D6" w14:textId="77777777" w:rsidR="00653A61" w:rsidRDefault="00653A61">
      <w:pPr>
        <w:jc w:val="both"/>
        <w:rPr>
          <w:rFonts w:ascii="Arial" w:hAnsi="Arial" w:cs="Arial"/>
          <w:color w:val="2E74B5" w:themeColor="accent1" w:themeShade="BF"/>
          <w:sz w:val="24"/>
          <w:szCs w:val="24"/>
        </w:rPr>
      </w:pPr>
    </w:p>
    <w:p w14:paraId="25F0875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Adicionalmente, en contextos de competencia entre marcas globales y locales, la literatura ha incorporado enfoques que se asocian con la preferencia del consumidor, desde la comparación entre alternativas, considerando variables como la percepción de valor, la conveniencia, la confianza y la afinidad. Estos modelos permiten analizar cómo los consumidores priorizan marcas locales o globales en función de sus experiencias y expectativas (Garcés-Giraldo et al. 2022).</w:t>
      </w:r>
    </w:p>
    <w:p w14:paraId="178493A2" w14:textId="77777777" w:rsidR="00653A61" w:rsidRDefault="00653A61">
      <w:pPr>
        <w:jc w:val="both"/>
        <w:rPr>
          <w:rFonts w:ascii="Arial" w:hAnsi="Arial" w:cs="Arial"/>
          <w:color w:val="2E74B5" w:themeColor="accent1" w:themeShade="BF"/>
          <w:sz w:val="24"/>
          <w:szCs w:val="24"/>
        </w:rPr>
      </w:pPr>
    </w:p>
    <w:p w14:paraId="542079D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entornos digitales, la preferencia de marca está mediada por la experiencia del usuario en la plataforma, la facilidad de acceso y la interacción con la oferta, estos elementos se relacionan con la evaluación comparativa que realizan los consumidores entre marcas locales y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7CEE9AE5" w14:textId="77777777" w:rsidR="00653A61" w:rsidRDefault="00653A61">
      <w:pPr>
        <w:jc w:val="both"/>
        <w:rPr>
          <w:rFonts w:ascii="Arial" w:hAnsi="Arial" w:cs="Arial"/>
          <w:color w:val="2E74B5" w:themeColor="accent1" w:themeShade="BF"/>
          <w:sz w:val="24"/>
          <w:szCs w:val="24"/>
        </w:rPr>
      </w:pPr>
    </w:p>
    <w:p w14:paraId="68B93E1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evidencia empírica indica que la preferencia de los jóvenes por marcas locales no sigue un patrón uniforme, sino </w:t>
      </w:r>
      <w:proofErr w:type="gramStart"/>
      <w:r>
        <w:rPr>
          <w:rFonts w:ascii="Arial" w:hAnsi="Arial" w:cs="Arial"/>
          <w:color w:val="2E74B5" w:themeColor="accent1" w:themeShade="BF"/>
          <w:sz w:val="24"/>
          <w:szCs w:val="24"/>
        </w:rPr>
        <w:t>que</w:t>
      </w:r>
      <w:proofErr w:type="gramEnd"/>
      <w:r>
        <w:rPr>
          <w:rFonts w:ascii="Arial" w:hAnsi="Arial" w:cs="Arial"/>
          <w:color w:val="2E74B5" w:themeColor="accent1" w:themeShade="BF"/>
          <w:sz w:val="24"/>
          <w:szCs w:val="24"/>
        </w:rPr>
        <w:t xml:space="preserve"> por el contrario, está influenciada por múltiples factores contextuales. Investigaciones previas señalan que, si bien los jóvenes pueden manifestar actitudes positivas hacia las marcas locales por aspectos relacionados a la identidad y fenómenos culturales, estas actitudes no siempre se traducen en decisiones de compra reales, especialmente cuando las marcas globales ofrecen mayores niveles de conveniencia, precio y variedad (Lima Vargas et al. 2022).</w:t>
      </w:r>
    </w:p>
    <w:p w14:paraId="258F348C" w14:textId="77777777" w:rsidR="00653A61" w:rsidRDefault="00653A61">
      <w:pPr>
        <w:jc w:val="both"/>
        <w:rPr>
          <w:rFonts w:ascii="Arial" w:hAnsi="Arial" w:cs="Arial"/>
          <w:color w:val="2E74B5" w:themeColor="accent1" w:themeShade="BF"/>
          <w:sz w:val="24"/>
          <w:szCs w:val="24"/>
        </w:rPr>
      </w:pPr>
    </w:p>
    <w:p w14:paraId="01DFA9F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Investigaciones en mercados latinoamericanos evidencian que la preferencia por marcas locales se debilita frente a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que ofrecen experiencias digitales dinámicas, gratificación inmediata y estímulos emocionales constantes (Tan, Y. 2024); Valverde et al. 2023). En estos contextos, la experiencia emocional digital se convierte en un factor decisivo que desplaza la importancia del origen de la marca, favoreciendo la elección de plataformas globales.</w:t>
      </w:r>
    </w:p>
    <w:p w14:paraId="7C87362C" w14:textId="77777777" w:rsidR="00653A61" w:rsidRDefault="00653A61">
      <w:pPr>
        <w:jc w:val="both"/>
        <w:rPr>
          <w:rFonts w:ascii="Arial" w:hAnsi="Arial" w:cs="Arial"/>
          <w:color w:val="2E74B5" w:themeColor="accent1" w:themeShade="BF"/>
          <w:sz w:val="24"/>
          <w:szCs w:val="24"/>
        </w:rPr>
      </w:pPr>
    </w:p>
    <w:p w14:paraId="6A363BF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Asimismo, estudios centrados en los jóvenes, indican que este grupo prioriza marcas que logran integrarse a su estilo de vida digital, independientemente de su origen geográfico. Cuando las marcas locales no consiguen replicar experiencias digitales atractivas, su preferencia se ve afectada, aun cuando existan valoraciones positivas asociadas a la identidad local o la sostenibilidad (Valverde et al. 2023).</w:t>
      </w:r>
    </w:p>
    <w:p w14:paraId="3DA70E3B" w14:textId="77777777" w:rsidR="00653A61" w:rsidRDefault="00653A61">
      <w:pPr>
        <w:jc w:val="both"/>
        <w:rPr>
          <w:rFonts w:ascii="Arial" w:hAnsi="Arial" w:cs="Arial"/>
          <w:color w:val="2E74B5" w:themeColor="accent1" w:themeShade="BF"/>
          <w:sz w:val="24"/>
          <w:szCs w:val="24"/>
        </w:rPr>
      </w:pPr>
    </w:p>
    <w:p w14:paraId="4CD9BA4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Estos hallazgos sugieren que la preferencia de los jóvenes por marcas locales está determinada por la experiencia digital y el comportamiento de compra, más que por una valoración exclusiva del origen de la marca.</w:t>
      </w:r>
    </w:p>
    <w:p w14:paraId="57CD5079" w14:textId="77777777" w:rsidR="00653A61" w:rsidRDefault="00653A61">
      <w:pPr>
        <w:jc w:val="both"/>
        <w:rPr>
          <w:rFonts w:ascii="Arial" w:hAnsi="Arial" w:cs="Arial"/>
          <w:color w:val="2E74B5" w:themeColor="accent1" w:themeShade="BF"/>
          <w:sz w:val="24"/>
          <w:szCs w:val="24"/>
        </w:rPr>
      </w:pPr>
    </w:p>
    <w:p w14:paraId="7A9521B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 pesar del creciente interés por el estudio de la preferencia de marca, la literatura aún presenta vacíos en relación con las marcas locales de moda. La mayoría de las investigaciones se han abordado desde una perspectiva general de preferencia de marca, sin profundizar específicamente en la competencia entre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globales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y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y marcas locales en entornos digitales.</w:t>
      </w:r>
    </w:p>
    <w:p w14:paraId="463C9CE4" w14:textId="77777777" w:rsidR="00653A61" w:rsidRDefault="00653A61">
      <w:pPr>
        <w:jc w:val="both"/>
        <w:rPr>
          <w:rFonts w:ascii="Arial" w:hAnsi="Arial" w:cs="Arial"/>
          <w:color w:val="2E74B5" w:themeColor="accent1" w:themeShade="BF"/>
          <w:sz w:val="24"/>
          <w:szCs w:val="24"/>
        </w:rPr>
      </w:pPr>
    </w:p>
    <w:p w14:paraId="1E5B9E1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Finalmente, se identifica falta de evidencia en el análisis de la preferencia por marcas locales en contextos urbanos latinoamericanos como Bogotá, donde la presencia de plataformas globales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convive con un ecosistema de marcas locales emergentes. En este sentido, la presente investigación aporta al campo objeto de estudio, al analizar cómo las respuestas emocionales derivadas de la experiencia digital y el comportamiento de compra se relacionan con la preferencia de los jóvenes bogotanos por marcas locales de moda.</w:t>
      </w:r>
    </w:p>
    <w:p w14:paraId="3BCC81DE" w14:textId="77777777" w:rsidR="00653A61" w:rsidRDefault="00653A61">
      <w:pPr>
        <w:jc w:val="both"/>
        <w:rPr>
          <w:rFonts w:ascii="Arial" w:hAnsi="Arial" w:cs="Arial"/>
          <w:color w:val="2E74B5" w:themeColor="accent1" w:themeShade="BF"/>
          <w:sz w:val="24"/>
          <w:szCs w:val="24"/>
        </w:rPr>
      </w:pPr>
    </w:p>
    <w:p w14:paraId="2F9EED4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Este abordaje permite aportar evidencia empírica relevante para el diseño de estrategias orientadas al fortalecimiento de las marcas locales, brindando una comprensión más integral de las dinámicas de consumo juvenil en un entorno digital altamente competitivo.</w:t>
      </w:r>
    </w:p>
    <w:p w14:paraId="7F0094A6" w14:textId="77777777" w:rsidR="00653A61" w:rsidRDefault="00653A61">
      <w:pPr>
        <w:jc w:val="both"/>
        <w:rPr>
          <w:rFonts w:ascii="Arial" w:hAnsi="Arial" w:cs="Arial"/>
          <w:color w:val="2E74B5" w:themeColor="accent1" w:themeShade="BF"/>
          <w:sz w:val="24"/>
          <w:szCs w:val="24"/>
        </w:rPr>
      </w:pPr>
    </w:p>
    <w:p w14:paraId="5453B3CB" w14:textId="77777777" w:rsidR="00653A61" w:rsidRDefault="00653A61">
      <w:pPr>
        <w:jc w:val="both"/>
        <w:rPr>
          <w:rFonts w:ascii="Arial" w:hAnsi="Arial" w:cs="Arial"/>
          <w:bCs/>
          <w:sz w:val="24"/>
          <w:szCs w:val="24"/>
        </w:rPr>
      </w:pPr>
    </w:p>
    <w:p w14:paraId="2A254698" w14:textId="77777777"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t>2. ESTRATEGIA METODOLÓGICA</w:t>
      </w:r>
    </w:p>
    <w:p w14:paraId="7311F282" w14:textId="77777777" w:rsidR="00653A61" w:rsidRDefault="00653A61">
      <w:pPr>
        <w:jc w:val="both"/>
        <w:rPr>
          <w:rFonts w:ascii="Arial" w:hAnsi="Arial" w:cs="Arial"/>
          <w:color w:val="2E74B5" w:themeColor="accent1" w:themeShade="BF"/>
          <w:sz w:val="24"/>
          <w:szCs w:val="24"/>
        </w:rPr>
      </w:pPr>
    </w:p>
    <w:p w14:paraId="12915566"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 xml:space="preserve">2.1 Enfoque metodológico </w:t>
      </w:r>
    </w:p>
    <w:p w14:paraId="6C85DA62" w14:textId="77777777" w:rsidR="00653A61" w:rsidRDefault="00653A61">
      <w:pPr>
        <w:jc w:val="both"/>
        <w:rPr>
          <w:rFonts w:ascii="Arial" w:hAnsi="Arial" w:cs="Arial"/>
          <w:color w:val="2E74B5" w:themeColor="accent1" w:themeShade="BF"/>
          <w:sz w:val="24"/>
          <w:szCs w:val="24"/>
        </w:rPr>
      </w:pPr>
    </w:p>
    <w:p w14:paraId="6617C18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esta investigación se consideró pertinente adoptar la metodología propuesta por (Hernández-Sampieri &amp; Mendoza 2020). De acuerdo con este enfoque, el estudio se desarrolló bajo un enfoque cuantitativo, con un diseño no experimental, de corte transeccional y alcance correlacional, dado que los datos se recolectaron en un único momento temporal y en un contexto específico. </w:t>
      </w:r>
    </w:p>
    <w:p w14:paraId="3867853F" w14:textId="77777777" w:rsidR="00653A61" w:rsidRDefault="00653A61">
      <w:pPr>
        <w:jc w:val="both"/>
        <w:rPr>
          <w:rFonts w:ascii="Arial" w:hAnsi="Arial" w:cs="Arial"/>
          <w:color w:val="2E74B5" w:themeColor="accent1" w:themeShade="BF"/>
          <w:sz w:val="24"/>
          <w:szCs w:val="24"/>
        </w:rPr>
      </w:pPr>
    </w:p>
    <w:p w14:paraId="766FA6B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propósito del presente estudio fue analizar la relación existente entre las respuestas emocionales asociadas a la experiencia digital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el comportamiento de compra de los jóvenes bogotanos; y su incidencia en la preferencia por marcas locales de moda, en el marco del uso de estrategias de marketing emocional. Así como analizar la relación estadística entre estas variables en un contexto específico. </w:t>
      </w:r>
    </w:p>
    <w:p w14:paraId="345C8D3B" w14:textId="77777777" w:rsidR="00653A61" w:rsidRDefault="00653A61">
      <w:pPr>
        <w:jc w:val="both"/>
        <w:rPr>
          <w:rFonts w:ascii="Arial" w:hAnsi="Arial" w:cs="Arial"/>
          <w:color w:val="2E74B5" w:themeColor="accent1" w:themeShade="BF"/>
          <w:sz w:val="24"/>
          <w:szCs w:val="24"/>
        </w:rPr>
      </w:pPr>
    </w:p>
    <w:p w14:paraId="5DA2F1E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El diseño no experimental se considera pertinente debido a que las variables no fueron manipuladas, sino observadas tal como se presentan en el entorno natural de consumo digital de los participantes.</w:t>
      </w:r>
    </w:p>
    <w:p w14:paraId="4F2783E9" w14:textId="77777777" w:rsidR="00653A61" w:rsidRDefault="00653A61">
      <w:pPr>
        <w:jc w:val="both"/>
        <w:rPr>
          <w:rFonts w:ascii="Arial" w:hAnsi="Arial" w:cs="Arial"/>
          <w:color w:val="2E74B5" w:themeColor="accent1" w:themeShade="BF"/>
          <w:sz w:val="24"/>
          <w:szCs w:val="24"/>
        </w:rPr>
      </w:pPr>
    </w:p>
    <w:p w14:paraId="39FC5CA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Este enfoque metodológico permite analizar de manera sistemática las dinámicas de consumo juvenil en entornos digitales, aportando evidencia experimental relevante para la comprensión del fenómeno estudiado. Además, facilita la identificación de los patrones de comportamiento que caracterizan a los jóvenes consumidores bogotanos, así como el análisis del grado de asociación existente entre variables relevantes para la investigación, tales como las respuestas emocionales vinculadas a la experiencia digital, el comportamiento de compra y la preferencia por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en comparación con marcas locales de moda. A su vez, permite comprender cómo estos elementos se relacionan con la toma de decisiones de compra dentro de un entorno digital.</w:t>
      </w:r>
    </w:p>
    <w:p w14:paraId="217C73A7" w14:textId="77777777" w:rsidR="00653A61" w:rsidRDefault="00653A61">
      <w:pPr>
        <w:jc w:val="both"/>
        <w:rPr>
          <w:rFonts w:ascii="Arial" w:hAnsi="Arial" w:cs="Arial"/>
          <w:color w:val="2E74B5" w:themeColor="accent1" w:themeShade="BF"/>
          <w:sz w:val="24"/>
          <w:szCs w:val="24"/>
        </w:rPr>
      </w:pPr>
    </w:p>
    <w:p w14:paraId="3E6D8B7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Gracias a esta perspectiva analítica, se pueden identificar tendencias generales del comportamiento del público objetivo y obtener resultados que podrían ser </w:t>
      </w:r>
      <w:r>
        <w:rPr>
          <w:rFonts w:ascii="Arial" w:hAnsi="Arial" w:cs="Arial"/>
          <w:color w:val="2E74B5" w:themeColor="accent1" w:themeShade="BF"/>
          <w:sz w:val="24"/>
          <w:szCs w:val="24"/>
        </w:rPr>
        <w:lastRenderedPageBreak/>
        <w:t xml:space="preserve">extrapolados a una muestra representativa de jóvenes bogotanos. Esto es relevante para interpretar el comportamiento de los consumidores dentro del ecosistema de las marcas locales de moda juvenil en un contexto urbano digitalizado. </w:t>
      </w:r>
    </w:p>
    <w:p w14:paraId="0B8CE845" w14:textId="77777777" w:rsidR="00653A61" w:rsidRDefault="00653A61">
      <w:pPr>
        <w:jc w:val="both"/>
        <w:rPr>
          <w:rFonts w:ascii="Arial" w:hAnsi="Arial" w:cs="Arial"/>
          <w:color w:val="2E74B5" w:themeColor="accent1" w:themeShade="BF"/>
          <w:sz w:val="24"/>
          <w:szCs w:val="24"/>
        </w:rPr>
      </w:pPr>
    </w:p>
    <w:p w14:paraId="37B758D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conjunto, este enfoque proporciona una base sólida para analizar patrones de consumo, niveles de interacción y factores emocionales que intervienen en la adquisición de productos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0FD7E54F" w14:textId="77777777" w:rsidR="00653A61" w:rsidRDefault="00653A61">
      <w:pPr>
        <w:jc w:val="both"/>
        <w:rPr>
          <w:rFonts w:ascii="Arial" w:hAnsi="Arial" w:cs="Arial"/>
          <w:color w:val="2E74B5" w:themeColor="accent1" w:themeShade="BF"/>
          <w:sz w:val="24"/>
          <w:szCs w:val="24"/>
        </w:rPr>
      </w:pPr>
    </w:p>
    <w:p w14:paraId="6884B9D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carácter transeccional del estudio responde a que la recolección de los datos se realizó en un único momento temporal, permitiendo identificar patrones de comportamiento y relaciones entre variables dentro de un contexto específico. Asimismo, el alcance correlacional se justifica por el interés del estudio en examinar la relación existente entre las respuestas emocionales vinculadas a la experiencia digital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el comportamiento de compra de los jóvenes bogotanos y su incidencia en la preferencia por marcas locales de moda, sin pretender establecer relaciones de causalidad.</w:t>
      </w:r>
    </w:p>
    <w:p w14:paraId="46D9C159" w14:textId="77777777" w:rsidR="00653A61" w:rsidRDefault="00653A61">
      <w:pPr>
        <w:jc w:val="both"/>
        <w:rPr>
          <w:rFonts w:ascii="Arial" w:hAnsi="Arial" w:cs="Arial"/>
          <w:color w:val="2E74B5" w:themeColor="accent1" w:themeShade="BF"/>
          <w:sz w:val="24"/>
          <w:szCs w:val="24"/>
        </w:rPr>
      </w:pPr>
    </w:p>
    <w:p w14:paraId="2ADB4A2D"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2.2 Diseño muestral y abordaje de los participantes</w:t>
      </w:r>
    </w:p>
    <w:p w14:paraId="39B967D4" w14:textId="77777777" w:rsidR="00653A61" w:rsidRDefault="00653A61">
      <w:pPr>
        <w:jc w:val="both"/>
        <w:rPr>
          <w:rFonts w:ascii="Arial" w:hAnsi="Arial" w:cs="Arial"/>
          <w:color w:val="2E74B5" w:themeColor="accent1" w:themeShade="BF"/>
          <w:sz w:val="24"/>
          <w:szCs w:val="24"/>
        </w:rPr>
      </w:pPr>
    </w:p>
    <w:p w14:paraId="18D114C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Para definir el tamaño de la muestra se empleó la fórmula para poblaciones finitas, procedimiento recomendado en estudios cuantitativos cuando se cuenta con una estimación clara de la población objetivo (Hernández-Sampieri y Mendoza, 2020). En este caso, se tomó como referencia la población joven de Bogotá estimada por el DANE para el año 2024 (N = 1.823.809), información que se presenta en la revisión de literatura del apartado correspondiente. Bajo un nivel de confianza del 95% y un margen de error del 5%, considerado adecuado para estudios correlacionales con recursos limitados y una variabilidad esperada, el cálculo indicó un tamaño muestral mínimo de 380 participantes.</w:t>
      </w:r>
    </w:p>
    <w:p w14:paraId="2817955A" w14:textId="77777777" w:rsidR="00653A61" w:rsidRDefault="00653A61">
      <w:pPr>
        <w:jc w:val="both"/>
        <w:rPr>
          <w:rFonts w:ascii="Arial" w:hAnsi="Arial" w:cs="Arial"/>
          <w:color w:val="2E74B5" w:themeColor="accent1" w:themeShade="BF"/>
          <w:sz w:val="24"/>
          <w:szCs w:val="24"/>
        </w:rPr>
      </w:pPr>
    </w:p>
    <w:p w14:paraId="2BC95CD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aplicación del instrumento permitió obtener inicialmente 435 respuestas. Sin embargo, para el procesamiento estadístico se estableció una fecha de corte para el cierre y consolidación de la base de datos. Adicionalmente, se realizó un proceso de depuración con el fin de excluir registros incompletos o inconsistentes, garantizando la calidad de la información utilizada en el análisis.</w:t>
      </w:r>
    </w:p>
    <w:p w14:paraId="66FC427B" w14:textId="77777777" w:rsidR="00653A61" w:rsidRDefault="00653A61">
      <w:pPr>
        <w:jc w:val="both"/>
        <w:rPr>
          <w:rFonts w:ascii="Arial" w:hAnsi="Arial" w:cs="Arial"/>
          <w:color w:val="2E74B5" w:themeColor="accent1" w:themeShade="BF"/>
          <w:sz w:val="24"/>
          <w:szCs w:val="24"/>
        </w:rPr>
      </w:pPr>
    </w:p>
    <w:p w14:paraId="768F4B5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Como resultado, la base final procesada se conformó por 370 registros válidos; sin embargo, en algunos análisis SPSS se trabajó con 369 casos completos. Posteriormente, en los análisis que requerían respuestas completas en todos los ítems, el software SPSS aplicó eliminación por lista, obteniendo 369 casos válidos para los procedimientos de fiabilidad y análisis factorial.</w:t>
      </w:r>
    </w:p>
    <w:p w14:paraId="724B1117" w14:textId="77777777" w:rsidR="00653A61" w:rsidRDefault="00653A61">
      <w:pPr>
        <w:jc w:val="both"/>
        <w:rPr>
          <w:rFonts w:ascii="Arial" w:hAnsi="Arial" w:cs="Arial"/>
          <w:color w:val="2E74B5" w:themeColor="accent1" w:themeShade="BF"/>
          <w:sz w:val="24"/>
          <w:szCs w:val="24"/>
        </w:rPr>
      </w:pPr>
    </w:p>
    <w:p w14:paraId="44DB852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recolección de los datos se realizó a partir de una muestra por conveniencia. Los participantes fueron convocados mediante un enlace en línea y respondieron un cuestionario estructurado compuesto por seis secciones y un total de 27 preguntas cerradas, distribuidas en 2 preguntas de filtro, 7 preguntas sociodemográficas y 18 ítems de medición formulados bajo una escala Likert de cinco puntos. La elección de la escala Likert de cinco puntos se justifica por su claridad para los participantes y por la reducción de la carga cognitiva durante el proceso de respuesta, en comparación con escalas de mayor amplitud, como la de siete puntos, que pueden generar confusión entre opciones cercanas, especialmente en poblaciones heterogéneas como los jóvenes bogotanos.</w:t>
      </w:r>
    </w:p>
    <w:p w14:paraId="34913038" w14:textId="77777777" w:rsidR="00653A61" w:rsidRDefault="00653A61">
      <w:pPr>
        <w:jc w:val="both"/>
        <w:rPr>
          <w:rFonts w:ascii="Arial" w:hAnsi="Arial" w:cs="Arial"/>
          <w:color w:val="2E74B5" w:themeColor="accent1" w:themeShade="BF"/>
          <w:sz w:val="24"/>
          <w:szCs w:val="24"/>
        </w:rPr>
      </w:pPr>
    </w:p>
    <w:p w14:paraId="40F3AD8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escala utilizada se estructuró desde 1 (“Totalmente en desacuerdo”) hasta 5 (“Totalmente de acuerdo”) y permitió recopilar información relacionada con las respuestas emocionales vinculadas a la experiencia digital, el comportamiento de compra de los jóvenes bogotanos y su relación con el uso de estrategias de marketing emocional en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5F5433E9" w14:textId="77777777" w:rsidR="00653A61" w:rsidRDefault="00653A61">
      <w:pPr>
        <w:jc w:val="both"/>
        <w:rPr>
          <w:rFonts w:ascii="Arial" w:hAnsi="Arial" w:cs="Arial"/>
          <w:color w:val="2E74B5" w:themeColor="accent1" w:themeShade="BF"/>
          <w:sz w:val="24"/>
          <w:szCs w:val="24"/>
        </w:rPr>
      </w:pPr>
    </w:p>
    <w:p w14:paraId="3C5849C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Este tamaño muestral permitió analizar tendencias generales del comportamiento de los jóvenes consumidores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dentro de entornos digitales. En consecuencia, la muestra final procesada estuvo compuesta por 369 participantes con edades comprendidas entre los 18 y 28 años, residentes en Bogotá y usuarios de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p>
    <w:p w14:paraId="221288B2" w14:textId="77777777" w:rsidR="00653A61" w:rsidRDefault="00653A61">
      <w:pPr>
        <w:jc w:val="both"/>
        <w:rPr>
          <w:rFonts w:ascii="Arial" w:hAnsi="Arial" w:cs="Arial"/>
          <w:color w:val="2E74B5" w:themeColor="accent1" w:themeShade="BF"/>
          <w:sz w:val="24"/>
          <w:szCs w:val="24"/>
        </w:rPr>
      </w:pPr>
    </w:p>
    <w:p w14:paraId="3C12D9C0"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2.3 Universo, población, muestra y consideraciones éticas</w:t>
      </w:r>
    </w:p>
    <w:p w14:paraId="3A38605C" w14:textId="77777777" w:rsidR="00653A61" w:rsidRDefault="00653A61">
      <w:pPr>
        <w:jc w:val="both"/>
        <w:rPr>
          <w:rFonts w:ascii="Arial" w:hAnsi="Arial" w:cs="Arial"/>
          <w:color w:val="2E74B5" w:themeColor="accent1" w:themeShade="BF"/>
          <w:sz w:val="24"/>
          <w:szCs w:val="24"/>
        </w:rPr>
      </w:pPr>
    </w:p>
    <w:p w14:paraId="1FD5797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universo de estudio estuvo conformado por la población joven residente en la ciudad de Bogotá. La población objetivo correspondió a jóvenes con edades comprendidas entre los 18 y 28 años, usuarios de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5BA0E3F4" w14:textId="77777777" w:rsidR="00653A61" w:rsidRDefault="00653A61">
      <w:pPr>
        <w:jc w:val="both"/>
        <w:rPr>
          <w:rFonts w:ascii="Arial" w:hAnsi="Arial" w:cs="Arial"/>
          <w:color w:val="2E74B5" w:themeColor="accent1" w:themeShade="BF"/>
          <w:sz w:val="24"/>
          <w:szCs w:val="24"/>
        </w:rPr>
      </w:pPr>
    </w:p>
    <w:p w14:paraId="4655E3C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Se consideraron los siguientes criterios de inclusión para la selección de los participantes: tener entre 18 y 28 años, residir en la ciudad de Bogotá y haber realizado compras a través de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Como criterios de exclusión se establecieron personas fuera del rango de edad definido, residentes en otras ciudades o que no contaran con experiencia previa de compra en este tipo de plataformas.</w:t>
      </w:r>
    </w:p>
    <w:p w14:paraId="68111958" w14:textId="77777777" w:rsidR="00653A61" w:rsidRDefault="00653A61">
      <w:pPr>
        <w:jc w:val="both"/>
        <w:rPr>
          <w:rFonts w:ascii="Arial" w:hAnsi="Arial" w:cs="Arial"/>
          <w:color w:val="2E74B5" w:themeColor="accent1" w:themeShade="BF"/>
          <w:sz w:val="24"/>
          <w:szCs w:val="24"/>
        </w:rPr>
      </w:pPr>
    </w:p>
    <w:p w14:paraId="7306380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cuanto a los aspectos éticos, la participación en el estudio fue de carácter voluntario y anónimo, garantizando la confidencialidad de la información suministrada por los participantes. Los datos recolectados fueron utilizados exclusivamente con fines académicos y de investigación, y se aseguró un manejo responsable de la información conforme a principios éticos de respeto, privacidad y protección de los participantes.</w:t>
      </w:r>
    </w:p>
    <w:p w14:paraId="50A1714A" w14:textId="77777777" w:rsidR="00653A61" w:rsidRDefault="00653A61">
      <w:pPr>
        <w:jc w:val="both"/>
        <w:rPr>
          <w:rFonts w:ascii="Arial" w:hAnsi="Arial" w:cs="Arial"/>
          <w:color w:val="2E74B5" w:themeColor="accent1" w:themeShade="BF"/>
          <w:sz w:val="24"/>
          <w:szCs w:val="24"/>
        </w:rPr>
      </w:pPr>
    </w:p>
    <w:p w14:paraId="5C83F5A1"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 xml:space="preserve">2.4 Descripción de las variables y presentación de hipótesis </w:t>
      </w:r>
    </w:p>
    <w:p w14:paraId="4D7301D8" w14:textId="77777777" w:rsidR="00653A61" w:rsidRDefault="00653A61">
      <w:pPr>
        <w:jc w:val="both"/>
        <w:rPr>
          <w:rFonts w:ascii="Arial" w:hAnsi="Arial" w:cs="Arial"/>
          <w:color w:val="2E74B5" w:themeColor="accent1" w:themeShade="BF"/>
          <w:sz w:val="24"/>
          <w:szCs w:val="24"/>
        </w:rPr>
      </w:pPr>
    </w:p>
    <w:p w14:paraId="501AABE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Con el fin de garantizar coherencia entre el marco teórico, los objetivos de la investigación y el análisis empírico, las variables del estudio fueron operacionalizadas mediante escalas de medición fundamentadas en modelos teóricos ampliamente utilizados en la literatura del marketing y el comportamiento del consumidor en entornos digitales. La selección de las dimensiones e indicadores responde a la necesidad de capturar adecuadamente constructos de naturaleza principalmente emocional y comportamental, los cuales no son directamente observables y requieren ser medidos a partir de percepciones y actitudes declaradas por los participantes.</w:t>
      </w:r>
    </w:p>
    <w:p w14:paraId="2A42E251" w14:textId="77777777" w:rsidR="00653A61" w:rsidRDefault="00653A61">
      <w:pPr>
        <w:jc w:val="both"/>
        <w:rPr>
          <w:rFonts w:ascii="Arial" w:hAnsi="Arial" w:cs="Arial"/>
          <w:color w:val="2E74B5" w:themeColor="accent1" w:themeShade="BF"/>
          <w:sz w:val="24"/>
          <w:szCs w:val="24"/>
        </w:rPr>
      </w:pPr>
    </w:p>
    <w:p w14:paraId="62F105E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Cada una de las escalas utilizadas se construyó a partir de la adaptación de ítems previamente validados en investigaciones similares, ajustándolos al contexto específico de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a la población objeto de estudio. A continuación, se presenta de manera detallada la estructura de las escalas de medición correspondientes a cada variable.</w:t>
      </w:r>
    </w:p>
    <w:p w14:paraId="537B7B61" w14:textId="77777777" w:rsidR="00653A61" w:rsidRDefault="00653A61">
      <w:pPr>
        <w:jc w:val="both"/>
        <w:rPr>
          <w:rFonts w:ascii="Arial" w:hAnsi="Arial" w:cs="Arial"/>
          <w:color w:val="2E74B5" w:themeColor="accent1" w:themeShade="BF"/>
          <w:sz w:val="24"/>
          <w:szCs w:val="24"/>
        </w:rPr>
      </w:pPr>
    </w:p>
    <w:p w14:paraId="43390EA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definición de las escalas de medición constituye un elemento clave para garantizar la coherencia entre el marco teórico, los objetivos de la investigación y el análisis empírico. Dado que las variables abordadas en este estudio son de naturaleza latente, al estar asociadas a percepciones, emociones y comportamientos, su medición exige la operacionalización a través de dimensiones </w:t>
      </w:r>
      <w:r>
        <w:rPr>
          <w:rFonts w:ascii="Arial" w:hAnsi="Arial" w:cs="Arial"/>
          <w:color w:val="2E74B5" w:themeColor="accent1" w:themeShade="BF"/>
          <w:sz w:val="24"/>
          <w:szCs w:val="24"/>
        </w:rPr>
        <w:lastRenderedPageBreak/>
        <w:t>e indicadores observables que permitan capturar de manera válida y confiable dichos constructos.</w:t>
      </w:r>
    </w:p>
    <w:p w14:paraId="7EF320E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este sentido, la selección de dimensiones para cada variable no responde únicamente a criterios operativos, sino que se fundamenta en modelos teóricos consolidados en la literatura del marketing y el comportamiento del consumidor en entornos digitales. De este modo, cada escala fue diseñada para representar los componentes conceptuales que se asocian con el fenómeno de estudio, asegurando la trazabilidad entre teoría, dimensión, indicador e ítem, así como la pertinencia de su aplicación al contexto de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a la población joven bogotana.</w:t>
      </w:r>
    </w:p>
    <w:p w14:paraId="50417B9B" w14:textId="77777777" w:rsidR="00653A61" w:rsidRDefault="00653A61">
      <w:pPr>
        <w:jc w:val="both"/>
        <w:rPr>
          <w:rFonts w:ascii="Arial" w:hAnsi="Arial" w:cs="Arial"/>
          <w:color w:val="2E74B5" w:themeColor="accent1" w:themeShade="BF"/>
          <w:sz w:val="24"/>
          <w:szCs w:val="24"/>
        </w:rPr>
      </w:pPr>
    </w:p>
    <w:p w14:paraId="7B2FCCBC"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Respuestas emocionales vinculadas a la experiencia digital</w:t>
      </w:r>
    </w:p>
    <w:p w14:paraId="73CE49EC" w14:textId="77777777" w:rsidR="00653A61" w:rsidRDefault="00653A61">
      <w:pPr>
        <w:jc w:val="both"/>
        <w:rPr>
          <w:rFonts w:ascii="Arial" w:hAnsi="Arial" w:cs="Arial"/>
          <w:color w:val="2E74B5" w:themeColor="accent1" w:themeShade="BF"/>
          <w:sz w:val="24"/>
          <w:szCs w:val="24"/>
        </w:rPr>
      </w:pPr>
    </w:p>
    <w:p w14:paraId="4BF6C5D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Esta variable hace referencia a las reacciones emocionales que experimentan los jóvenes bogotanos durante su interacción con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Siguiendo la literatura, el marketing emocional no se aborda como un constructo psicométrico directo, sino que se operacionaliza a partir de las respuestas emocionales inducidas por la experiencia digital (Achar et al. 2016; Tan, Y.  2024a). Estas respuestas están estructuradas en tres dimensiones: valencia emocional (placer/agrado), activación emocional (</w:t>
      </w:r>
      <w:proofErr w:type="spellStart"/>
      <w:r>
        <w:rPr>
          <w:rFonts w:ascii="Arial" w:hAnsi="Arial" w:cs="Arial"/>
          <w:color w:val="2E74B5" w:themeColor="accent1" w:themeShade="BF"/>
          <w:sz w:val="24"/>
          <w:szCs w:val="24"/>
        </w:rPr>
        <w:t>arousal</w:t>
      </w:r>
      <w:proofErr w:type="spellEnd"/>
      <w:r>
        <w:rPr>
          <w:rFonts w:ascii="Arial" w:hAnsi="Arial" w:cs="Arial"/>
          <w:color w:val="2E74B5" w:themeColor="accent1" w:themeShade="BF"/>
          <w:sz w:val="24"/>
          <w:szCs w:val="24"/>
        </w:rPr>
        <w:t xml:space="preserve">) y experiencia emocional digital, fundamentadas en el modelo PAD de (Mehrabian &amp; Russell 1974) y en estudios sobre experiencias emocionales en entornos digitales (Hwang &amp; </w:t>
      </w:r>
      <w:proofErr w:type="spellStart"/>
      <w:r>
        <w:rPr>
          <w:rFonts w:ascii="Arial" w:hAnsi="Arial" w:cs="Arial"/>
          <w:color w:val="2E74B5" w:themeColor="accent1" w:themeShade="BF"/>
          <w:sz w:val="24"/>
          <w:szCs w:val="24"/>
        </w:rPr>
        <w:t>Kandampully</w:t>
      </w:r>
      <w:proofErr w:type="spellEnd"/>
      <w:r>
        <w:rPr>
          <w:rFonts w:ascii="Arial" w:hAnsi="Arial" w:cs="Arial"/>
          <w:color w:val="2E74B5" w:themeColor="accent1" w:themeShade="BF"/>
          <w:sz w:val="24"/>
          <w:szCs w:val="24"/>
        </w:rPr>
        <w:t>, 2012).</w:t>
      </w:r>
    </w:p>
    <w:p w14:paraId="5511951D" w14:textId="77777777" w:rsidR="00653A61" w:rsidRDefault="00653A61">
      <w:pPr>
        <w:jc w:val="both"/>
        <w:rPr>
          <w:rFonts w:ascii="Arial" w:hAnsi="Arial" w:cs="Arial"/>
          <w:color w:val="2E74B5" w:themeColor="accent1" w:themeShade="BF"/>
          <w:sz w:val="24"/>
          <w:szCs w:val="24"/>
        </w:rPr>
      </w:pPr>
    </w:p>
    <w:p w14:paraId="1E924D9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Las respuestas emocionales vinculadas a la experiencia digital constituyen la variable independiente del estudio y se refieren a los estados afectivos que experimentan los jóvenes bogotanos durante su interacción con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Dado que el marketing emocional no se operacionaliza directamente como un constructo psicométrico único, esta investigación aborda dicho enfoque a través de las respuestas emocionales inducidas por la experiencia digital, siguiendo los planteamientos de (Achar et al. 2016; Tan, Y. 2024).</w:t>
      </w:r>
    </w:p>
    <w:p w14:paraId="6DB80581" w14:textId="77777777" w:rsidR="00653A61" w:rsidRDefault="00653A61">
      <w:pPr>
        <w:jc w:val="both"/>
        <w:rPr>
          <w:rFonts w:ascii="Arial" w:hAnsi="Arial" w:cs="Arial"/>
          <w:color w:val="2E74B5" w:themeColor="accent1" w:themeShade="BF"/>
          <w:sz w:val="24"/>
          <w:szCs w:val="24"/>
        </w:rPr>
      </w:pPr>
    </w:p>
    <w:p w14:paraId="47B809A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escala se fundamenta teóricamente en el modelo PAD (Pleasure–</w:t>
      </w:r>
      <w:proofErr w:type="spellStart"/>
      <w:r>
        <w:rPr>
          <w:rFonts w:ascii="Arial" w:hAnsi="Arial" w:cs="Arial"/>
          <w:color w:val="2E74B5" w:themeColor="accent1" w:themeShade="BF"/>
          <w:sz w:val="24"/>
          <w:szCs w:val="24"/>
        </w:rPr>
        <w:t>Arousal</w:t>
      </w:r>
      <w:proofErr w:type="spellEnd"/>
      <w:r>
        <w:rPr>
          <w:rFonts w:ascii="Arial" w:hAnsi="Arial" w:cs="Arial"/>
          <w:color w:val="2E74B5" w:themeColor="accent1" w:themeShade="BF"/>
          <w:sz w:val="24"/>
          <w:szCs w:val="24"/>
        </w:rPr>
        <w:t>–</w:t>
      </w:r>
      <w:proofErr w:type="spellStart"/>
      <w:r>
        <w:rPr>
          <w:rFonts w:ascii="Arial" w:hAnsi="Arial" w:cs="Arial"/>
          <w:color w:val="2E74B5" w:themeColor="accent1" w:themeShade="BF"/>
          <w:sz w:val="24"/>
          <w:szCs w:val="24"/>
        </w:rPr>
        <w:t>Dominance</w:t>
      </w:r>
      <w:proofErr w:type="spellEnd"/>
      <w:r>
        <w:rPr>
          <w:rFonts w:ascii="Arial" w:hAnsi="Arial" w:cs="Arial"/>
          <w:color w:val="2E74B5" w:themeColor="accent1" w:themeShade="BF"/>
          <w:sz w:val="24"/>
          <w:szCs w:val="24"/>
        </w:rPr>
        <w:t xml:space="preserve">) propuesto por (Mehrabian &amp; Russell 1974) el cual establece que los estímulos del entorno podrían estar relacionadas con estados emocionales que se relacionan con las respuestas conductuales del individuo. En investigaciones aplicadas al marketing y al comercio electrónico, este modelo ha sido utilizado </w:t>
      </w:r>
      <w:r>
        <w:rPr>
          <w:rFonts w:ascii="Arial" w:hAnsi="Arial" w:cs="Arial"/>
          <w:color w:val="2E74B5" w:themeColor="accent1" w:themeShade="BF"/>
          <w:sz w:val="24"/>
          <w:szCs w:val="24"/>
        </w:rPr>
        <w:lastRenderedPageBreak/>
        <w:t>principalmente a partir de las dimensiones de placer (valencia emocional) y activación emocional (</w:t>
      </w:r>
      <w:proofErr w:type="spellStart"/>
      <w:r>
        <w:rPr>
          <w:rFonts w:ascii="Arial" w:hAnsi="Arial" w:cs="Arial"/>
          <w:color w:val="2E74B5" w:themeColor="accent1" w:themeShade="BF"/>
          <w:sz w:val="24"/>
          <w:szCs w:val="24"/>
        </w:rPr>
        <w:t>arousal</w:t>
      </w:r>
      <w:proofErr w:type="spellEnd"/>
      <w:r>
        <w:rPr>
          <w:rFonts w:ascii="Arial" w:hAnsi="Arial" w:cs="Arial"/>
          <w:color w:val="2E74B5" w:themeColor="accent1" w:themeShade="BF"/>
          <w:sz w:val="24"/>
          <w:szCs w:val="24"/>
        </w:rPr>
        <w:t xml:space="preserve">), dado su alto poder explicativo sobre la intención de compra, la recompra y el comportamiento impulsivo del consumidor (Hwang &amp; </w:t>
      </w:r>
      <w:proofErr w:type="spellStart"/>
      <w:r>
        <w:rPr>
          <w:rFonts w:ascii="Arial" w:hAnsi="Arial" w:cs="Arial"/>
          <w:color w:val="2E74B5" w:themeColor="accent1" w:themeShade="BF"/>
          <w:sz w:val="24"/>
          <w:szCs w:val="24"/>
        </w:rPr>
        <w:t>Kandampully</w:t>
      </w:r>
      <w:proofErr w:type="spellEnd"/>
      <w:r>
        <w:rPr>
          <w:rFonts w:ascii="Arial" w:hAnsi="Arial" w:cs="Arial"/>
          <w:color w:val="2E74B5" w:themeColor="accent1" w:themeShade="BF"/>
          <w:sz w:val="24"/>
          <w:szCs w:val="24"/>
        </w:rPr>
        <w:t xml:space="preserve"> 2012; Valverde et al. 2023).</w:t>
      </w:r>
    </w:p>
    <w:p w14:paraId="7A57BCDC" w14:textId="77777777" w:rsidR="00653A61" w:rsidRDefault="00653A61">
      <w:pPr>
        <w:jc w:val="both"/>
        <w:rPr>
          <w:rFonts w:ascii="Arial" w:hAnsi="Arial" w:cs="Arial"/>
          <w:color w:val="2E74B5" w:themeColor="accent1" w:themeShade="BF"/>
          <w:sz w:val="24"/>
          <w:szCs w:val="24"/>
        </w:rPr>
      </w:pPr>
    </w:p>
    <w:p w14:paraId="12F538A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selección de las dimensiones valencia emocional, activación y experiencias emocionales digitales, responde a la necesidad de capturar de forma integral las respuestas afectivas inducidas por la interacción con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En concordancia con el modelo PAD, propuesto por (Mehrabian &amp; Russell 1974) las emociones generadas por los estímulos del entorno digital se relacionan directamente en los estados internos del consumidor y, posteriormente, en sus respuestas conductuales.</w:t>
      </w:r>
    </w:p>
    <w:p w14:paraId="648B853B" w14:textId="77777777" w:rsidR="00653A61" w:rsidRDefault="00653A61">
      <w:pPr>
        <w:jc w:val="both"/>
        <w:rPr>
          <w:rFonts w:ascii="Arial" w:hAnsi="Arial" w:cs="Arial"/>
          <w:color w:val="2E74B5" w:themeColor="accent1" w:themeShade="BF"/>
          <w:sz w:val="24"/>
          <w:szCs w:val="24"/>
        </w:rPr>
      </w:pPr>
    </w:p>
    <w:p w14:paraId="5783207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valencia emocional permite identificar la evaluación afectiva global de la experiencia de navegación y compra, reflejando el nivel de agrado, satisfacción y emociones positivas asociadas a la interacción con la plataforma (Mehrabian &amp; Russell, 1974). Por su parte, la activación emocional está orientada a medir la intensidad de la respuesta emocional, capturando sensaciones de entusiasmo, urgencia e impulso que resultan particularmente importantes en entornos digitales caracterizados por promociones constantes, mensajes de escasez y estímulos visuales dinámicos.</w:t>
      </w:r>
    </w:p>
    <w:p w14:paraId="5C8174FB" w14:textId="77777777" w:rsidR="00653A61" w:rsidRDefault="00653A61">
      <w:pPr>
        <w:jc w:val="both"/>
        <w:rPr>
          <w:rFonts w:ascii="Arial" w:hAnsi="Arial" w:cs="Arial"/>
          <w:color w:val="2E74B5" w:themeColor="accent1" w:themeShade="BF"/>
          <w:sz w:val="24"/>
          <w:szCs w:val="24"/>
        </w:rPr>
      </w:pPr>
    </w:p>
    <w:p w14:paraId="6D71B5C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Finalmente, la experiencia emocional digital amplía el análisis más allá de respuestas emocionales puntuales, incorporando el compromiso afectivo sostenido del usuario durante la navegación, aspecto clave para comprender la permanencia, la atención y la construcción de experiencias memorables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La integración de estas dimensiones permite operacionalizar el marketing emocional desde una perspectiva experiencial, adecuada al contexto digital y al comportamiento de consumo del público joven.</w:t>
      </w:r>
    </w:p>
    <w:p w14:paraId="3E5738AF" w14:textId="77777777" w:rsidR="00653A61" w:rsidRDefault="00653A61">
      <w:pPr>
        <w:jc w:val="both"/>
        <w:rPr>
          <w:rFonts w:ascii="Arial" w:hAnsi="Arial" w:cs="Arial"/>
          <w:color w:val="2E74B5" w:themeColor="accent1" w:themeShade="BF"/>
          <w:sz w:val="24"/>
          <w:szCs w:val="24"/>
        </w:rPr>
      </w:pPr>
    </w:p>
    <w:p w14:paraId="33265DA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coherencia con la literatura revisada, la variable se estructura en tres dimensiones:</w:t>
      </w:r>
    </w:p>
    <w:p w14:paraId="61E2AAF9" w14:textId="77777777" w:rsidR="00653A61" w:rsidRDefault="00653A61">
      <w:pPr>
        <w:jc w:val="both"/>
        <w:rPr>
          <w:rFonts w:ascii="Arial" w:hAnsi="Arial" w:cs="Arial"/>
          <w:color w:val="2E74B5" w:themeColor="accent1" w:themeShade="BF"/>
          <w:sz w:val="24"/>
          <w:szCs w:val="24"/>
        </w:rPr>
      </w:pPr>
    </w:p>
    <w:p w14:paraId="4FC60938" w14:textId="77777777" w:rsidR="00653A61" w:rsidRDefault="00563720">
      <w:pPr>
        <w:pStyle w:val="Prrafodelista"/>
        <w:numPr>
          <w:ilvl w:val="0"/>
          <w:numId w:val="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Valencia emocional (placer/agrado): representa el grado en que la experiencia de navegación y compra resulta agradable, satisfactoria y emocionalmente positiva para el consumidor. Esta dimensión permite </w:t>
      </w:r>
      <w:r>
        <w:rPr>
          <w:rFonts w:ascii="Arial" w:hAnsi="Arial" w:cs="Arial"/>
          <w:color w:val="2E74B5" w:themeColor="accent1" w:themeShade="BF"/>
          <w:sz w:val="24"/>
          <w:szCs w:val="24"/>
        </w:rPr>
        <w:lastRenderedPageBreak/>
        <w:t>evaluar la percepción global de agrado asociada a la interacción con la plataforma y su impacto en la evaluación de la experiencia.</w:t>
      </w:r>
    </w:p>
    <w:p w14:paraId="7B5C7F5C" w14:textId="77777777" w:rsidR="00653A61" w:rsidRDefault="00563720">
      <w:pPr>
        <w:pStyle w:val="Prrafodelista"/>
        <w:numPr>
          <w:ilvl w:val="0"/>
          <w:numId w:val="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Activación emocional (</w:t>
      </w:r>
      <w:proofErr w:type="spellStart"/>
      <w:r>
        <w:rPr>
          <w:rFonts w:ascii="Arial" w:hAnsi="Arial" w:cs="Arial"/>
          <w:color w:val="2E74B5" w:themeColor="accent1" w:themeShade="BF"/>
          <w:sz w:val="24"/>
          <w:szCs w:val="24"/>
        </w:rPr>
        <w:t>arousal</w:t>
      </w:r>
      <w:proofErr w:type="spellEnd"/>
      <w:r>
        <w:rPr>
          <w:rFonts w:ascii="Arial" w:hAnsi="Arial" w:cs="Arial"/>
          <w:color w:val="2E74B5" w:themeColor="accent1" w:themeShade="BF"/>
          <w:sz w:val="24"/>
          <w:szCs w:val="24"/>
        </w:rPr>
        <w:t xml:space="preserve">): se refiere al nivel de excitación, entusiasmo, urgencia e impulso generado por estímulos propios de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tales como promociones temporales, descuentos, mensajes de escasez y presentación dinámica de productos. Esta dimensión resulta </w:t>
      </w:r>
      <w:proofErr w:type="spellStart"/>
      <w:r>
        <w:rPr>
          <w:rFonts w:ascii="Arial" w:hAnsi="Arial" w:cs="Arial"/>
          <w:color w:val="2E74B5" w:themeColor="accent1" w:themeShade="BF"/>
          <w:sz w:val="24"/>
          <w:szCs w:val="24"/>
        </w:rPr>
        <w:t>ede</w:t>
      </w:r>
      <w:proofErr w:type="spellEnd"/>
      <w:r>
        <w:rPr>
          <w:rFonts w:ascii="Arial" w:hAnsi="Arial" w:cs="Arial"/>
          <w:color w:val="2E74B5" w:themeColor="accent1" w:themeShade="BF"/>
          <w:sz w:val="24"/>
          <w:szCs w:val="24"/>
        </w:rPr>
        <w:t xml:space="preserve"> gran importancia en contextos digitales donde se favorecen decisiones de compra rápidas y poco deliberadas.</w:t>
      </w:r>
    </w:p>
    <w:p w14:paraId="268EDA58" w14:textId="77777777" w:rsidR="00653A61" w:rsidRDefault="00653A61">
      <w:pPr>
        <w:jc w:val="both"/>
        <w:rPr>
          <w:rFonts w:ascii="Arial" w:hAnsi="Arial" w:cs="Arial"/>
          <w:color w:val="2E74B5" w:themeColor="accent1" w:themeShade="BF"/>
          <w:sz w:val="24"/>
          <w:szCs w:val="24"/>
        </w:rPr>
      </w:pPr>
    </w:p>
    <w:p w14:paraId="515B276D" w14:textId="77777777" w:rsidR="00653A61" w:rsidRDefault="00563720">
      <w:pPr>
        <w:pStyle w:val="Prrafodelista"/>
        <w:numPr>
          <w:ilvl w:val="0"/>
          <w:numId w:val="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Experiencia emocional digital: integra el nivel de involucramiento afectivo sostenido del usuario durante la navegación, considerando aspectos como el disfrute de la interacción, la estimulación emocional y la capacidad de la plataforma para captar y mantener la atención del consumidor. Esta dimensión adquiere especial relevancia en contextos digitales, donde se promueven decisiones de compra rápidas y con menor nivel de deliberación.</w:t>
      </w:r>
    </w:p>
    <w:p w14:paraId="3104690D" w14:textId="77777777" w:rsidR="00653A61" w:rsidRDefault="00653A61">
      <w:pPr>
        <w:jc w:val="both"/>
        <w:rPr>
          <w:rFonts w:ascii="Arial" w:hAnsi="Arial" w:cs="Arial"/>
          <w:color w:val="2E74B5" w:themeColor="accent1" w:themeShade="BF"/>
          <w:sz w:val="24"/>
          <w:szCs w:val="24"/>
        </w:rPr>
      </w:pPr>
    </w:p>
    <w:p w14:paraId="113ED32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medición de cada una de estas dimensiones se realizó mediante ítems tipo Likert de cinco puntos, adaptados de escalas empleadas en estudios sobre emociones en entornos digitales y experiencia del consumidor, lo que permitió garantizar la validez conceptual y la coherencia entre el constructo teórico y su medición empírica.</w:t>
      </w:r>
    </w:p>
    <w:p w14:paraId="3236E77E" w14:textId="77777777" w:rsidR="00653A61" w:rsidRDefault="00653A61">
      <w:pPr>
        <w:jc w:val="center"/>
        <w:rPr>
          <w:rFonts w:ascii="Arial" w:hAnsi="Arial" w:cs="Arial"/>
          <w:color w:val="2E74B5" w:themeColor="accent1" w:themeShade="BF"/>
          <w:sz w:val="24"/>
          <w:szCs w:val="24"/>
        </w:rPr>
      </w:pPr>
    </w:p>
    <w:p w14:paraId="7F5B9753"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Tabla 1: Operacionalización de la variable, respuestas emocionales vinculadas a la experiencia digital</w:t>
      </w:r>
    </w:p>
    <w:p w14:paraId="77C94116" w14:textId="77777777" w:rsidR="00653A61" w:rsidRDefault="00653A61">
      <w:pPr>
        <w:jc w:val="center"/>
        <w:rPr>
          <w:rFonts w:ascii="Arial" w:hAnsi="Arial" w:cs="Arial"/>
          <w:color w:val="2E74B5" w:themeColor="accent1" w:themeShade="BF"/>
          <w:sz w:val="24"/>
          <w:szCs w:val="24"/>
        </w:rPr>
      </w:pPr>
    </w:p>
    <w:tbl>
      <w:tblPr>
        <w:tblW w:w="8501" w:type="dxa"/>
        <w:tblLayout w:type="fixed"/>
        <w:tblCellMar>
          <w:left w:w="70" w:type="dxa"/>
          <w:right w:w="70" w:type="dxa"/>
        </w:tblCellMar>
        <w:tblLook w:val="04A0" w:firstRow="1" w:lastRow="0" w:firstColumn="1" w:lastColumn="0" w:noHBand="0" w:noVBand="1"/>
      </w:tblPr>
      <w:tblGrid>
        <w:gridCol w:w="1128"/>
        <w:gridCol w:w="1276"/>
        <w:gridCol w:w="992"/>
        <w:gridCol w:w="1276"/>
        <w:gridCol w:w="2127"/>
        <w:gridCol w:w="766"/>
        <w:gridCol w:w="936"/>
      </w:tblGrid>
      <w:tr w:rsidR="00653A61" w14:paraId="05EBFE6A" w14:textId="77777777">
        <w:trPr>
          <w:trHeight w:val="290"/>
        </w:trPr>
        <w:tc>
          <w:tcPr>
            <w:tcW w:w="1128"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7ED2E598" w14:textId="77777777" w:rsidR="00653A61" w:rsidRDefault="00563720">
            <w:pPr>
              <w:spacing w:after="0" w:line="240" w:lineRule="auto"/>
              <w:jc w:val="center"/>
              <w:rPr>
                <w:rFonts w:ascii="Arial" w:eastAsia="Times New Roman" w:hAnsi="Arial" w:cs="Arial"/>
                <w:b/>
                <w:bCs/>
                <w:color w:val="FFFFFF"/>
                <w:sz w:val="16"/>
                <w:szCs w:val="16"/>
                <w:lang w:eastAsia="es-CO"/>
              </w:rPr>
            </w:pPr>
            <w:r>
              <w:rPr>
                <w:rFonts w:ascii="Arial" w:eastAsia="Times New Roman" w:hAnsi="Arial" w:cs="Arial"/>
                <w:b/>
                <w:bCs/>
                <w:color w:val="FFFFFF"/>
                <w:sz w:val="16"/>
                <w:szCs w:val="16"/>
                <w:lang w:eastAsia="es-CO"/>
              </w:rPr>
              <w:t>Variable</w:t>
            </w:r>
          </w:p>
        </w:tc>
        <w:tc>
          <w:tcPr>
            <w:tcW w:w="127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7BBEFB1D" w14:textId="77777777" w:rsidR="00653A61" w:rsidRDefault="00563720">
            <w:pPr>
              <w:spacing w:after="0" w:line="240" w:lineRule="auto"/>
              <w:jc w:val="center"/>
              <w:rPr>
                <w:rFonts w:ascii="Arial" w:eastAsia="Times New Roman" w:hAnsi="Arial" w:cs="Arial"/>
                <w:b/>
                <w:bCs/>
                <w:color w:val="FFFFFF"/>
                <w:sz w:val="16"/>
                <w:szCs w:val="16"/>
                <w:lang w:eastAsia="es-CO"/>
              </w:rPr>
            </w:pPr>
            <w:r>
              <w:rPr>
                <w:rFonts w:ascii="Arial" w:eastAsia="Times New Roman" w:hAnsi="Arial" w:cs="Arial"/>
                <w:b/>
                <w:bCs/>
                <w:color w:val="FFFFFF"/>
                <w:sz w:val="16"/>
                <w:szCs w:val="16"/>
                <w:lang w:eastAsia="es-CO"/>
              </w:rPr>
              <w:t>Tipo</w:t>
            </w:r>
          </w:p>
        </w:tc>
        <w:tc>
          <w:tcPr>
            <w:tcW w:w="99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68B49453" w14:textId="77777777" w:rsidR="00653A61" w:rsidRDefault="00563720">
            <w:pPr>
              <w:spacing w:after="0" w:line="240" w:lineRule="auto"/>
              <w:jc w:val="center"/>
              <w:rPr>
                <w:rFonts w:ascii="Arial" w:eastAsia="Times New Roman" w:hAnsi="Arial" w:cs="Arial"/>
                <w:b/>
                <w:bCs/>
                <w:color w:val="FFFFFF"/>
                <w:sz w:val="16"/>
                <w:szCs w:val="16"/>
                <w:lang w:eastAsia="es-CO"/>
              </w:rPr>
            </w:pPr>
            <w:r>
              <w:rPr>
                <w:rFonts w:ascii="Arial" w:eastAsia="Times New Roman" w:hAnsi="Arial" w:cs="Arial"/>
                <w:b/>
                <w:bCs/>
                <w:color w:val="FFFFFF"/>
                <w:sz w:val="16"/>
                <w:szCs w:val="16"/>
                <w:lang w:eastAsia="es-CO"/>
              </w:rPr>
              <w:t>Dimensión</w:t>
            </w:r>
          </w:p>
        </w:tc>
        <w:tc>
          <w:tcPr>
            <w:tcW w:w="127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72AB19AD" w14:textId="77777777" w:rsidR="00653A61" w:rsidRDefault="00563720">
            <w:pPr>
              <w:spacing w:after="0" w:line="240" w:lineRule="auto"/>
              <w:jc w:val="center"/>
              <w:rPr>
                <w:rFonts w:ascii="Arial" w:eastAsia="Times New Roman" w:hAnsi="Arial" w:cs="Arial"/>
                <w:b/>
                <w:bCs/>
                <w:color w:val="FFFFFF"/>
                <w:sz w:val="16"/>
                <w:szCs w:val="16"/>
                <w:lang w:eastAsia="es-CO"/>
              </w:rPr>
            </w:pPr>
            <w:r>
              <w:rPr>
                <w:rFonts w:ascii="Arial" w:eastAsia="Times New Roman" w:hAnsi="Arial" w:cs="Arial"/>
                <w:b/>
                <w:bCs/>
                <w:color w:val="FFFFFF"/>
                <w:sz w:val="16"/>
                <w:szCs w:val="16"/>
                <w:lang w:eastAsia="es-CO"/>
              </w:rPr>
              <w:t>Indicador</w:t>
            </w:r>
          </w:p>
        </w:tc>
        <w:tc>
          <w:tcPr>
            <w:tcW w:w="2127"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290506C6" w14:textId="77777777" w:rsidR="00653A61" w:rsidRDefault="00563720">
            <w:pPr>
              <w:spacing w:after="0" w:line="240" w:lineRule="auto"/>
              <w:jc w:val="center"/>
              <w:rPr>
                <w:rFonts w:ascii="Arial" w:eastAsia="Times New Roman" w:hAnsi="Arial" w:cs="Arial"/>
                <w:b/>
                <w:bCs/>
                <w:color w:val="FFFFFF"/>
                <w:sz w:val="16"/>
                <w:szCs w:val="16"/>
                <w:lang w:eastAsia="es-CO"/>
              </w:rPr>
            </w:pPr>
            <w:r>
              <w:rPr>
                <w:rFonts w:ascii="Arial" w:eastAsia="Times New Roman" w:hAnsi="Arial" w:cs="Arial"/>
                <w:b/>
                <w:bCs/>
                <w:color w:val="FFFFFF"/>
                <w:sz w:val="16"/>
                <w:szCs w:val="16"/>
                <w:lang w:eastAsia="es-CO"/>
              </w:rPr>
              <w:t>Ítem</w:t>
            </w:r>
          </w:p>
        </w:tc>
        <w:tc>
          <w:tcPr>
            <w:tcW w:w="76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40E19666" w14:textId="77777777" w:rsidR="00653A61" w:rsidRDefault="00563720">
            <w:pPr>
              <w:spacing w:after="0" w:line="240" w:lineRule="auto"/>
              <w:jc w:val="center"/>
              <w:rPr>
                <w:rFonts w:ascii="Arial" w:eastAsia="Times New Roman" w:hAnsi="Arial" w:cs="Arial"/>
                <w:b/>
                <w:bCs/>
                <w:color w:val="FFFFFF"/>
                <w:sz w:val="16"/>
                <w:szCs w:val="16"/>
                <w:lang w:eastAsia="es-CO"/>
              </w:rPr>
            </w:pPr>
            <w:r>
              <w:rPr>
                <w:rFonts w:ascii="Arial" w:eastAsia="Times New Roman" w:hAnsi="Arial" w:cs="Arial"/>
                <w:b/>
                <w:bCs/>
                <w:color w:val="FFFFFF"/>
                <w:sz w:val="16"/>
                <w:szCs w:val="16"/>
                <w:lang w:eastAsia="es-CO"/>
              </w:rPr>
              <w:t>Código</w:t>
            </w:r>
          </w:p>
        </w:tc>
        <w:tc>
          <w:tcPr>
            <w:tcW w:w="93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295390F0" w14:textId="77777777" w:rsidR="00653A61" w:rsidRDefault="00563720">
            <w:pPr>
              <w:spacing w:after="0" w:line="240" w:lineRule="auto"/>
              <w:jc w:val="center"/>
              <w:rPr>
                <w:rFonts w:ascii="Arial" w:eastAsia="Times New Roman" w:hAnsi="Arial" w:cs="Arial"/>
                <w:b/>
                <w:bCs/>
                <w:color w:val="FFFFFF"/>
                <w:sz w:val="16"/>
                <w:szCs w:val="16"/>
                <w:lang w:eastAsia="es-CO"/>
              </w:rPr>
            </w:pPr>
            <w:r>
              <w:rPr>
                <w:rFonts w:ascii="Arial" w:eastAsia="Times New Roman" w:hAnsi="Arial" w:cs="Arial"/>
                <w:b/>
                <w:bCs/>
                <w:color w:val="FFFFFF"/>
                <w:sz w:val="16"/>
                <w:szCs w:val="16"/>
                <w:lang w:eastAsia="es-CO"/>
              </w:rPr>
              <w:t>Fuente</w:t>
            </w:r>
          </w:p>
        </w:tc>
      </w:tr>
      <w:tr w:rsidR="00653A61" w14:paraId="4031BB3B" w14:textId="77777777">
        <w:trPr>
          <w:trHeight w:val="640"/>
        </w:trPr>
        <w:tc>
          <w:tcPr>
            <w:tcW w:w="1128"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98BD6F7"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Respuestas emocionales vinculadas a la experiencia digital</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4C28CE3"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Independiente</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6A39B10"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Valencia emocional (placer / agrado)</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D8069F0"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Agrado emocional</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26CEDB5"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La experiencia de compra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me resulta agradable.</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7E82A92"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VE1</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0B5F981"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"/>
                <w:id w:val="373586069"/>
                <w:placeholder>
                  <w:docPart w:val="8CA920B397994F589EAA13A78ED23B48"/>
                </w:placeholder>
                <w:text/>
              </w:sdtPr>
              <w:sdtEndPr/>
              <w:sdtContent>
                <w:r w:rsidR="00563720">
                  <w:rPr>
                    <w:rFonts w:ascii="Arial" w:eastAsia="Times New Roman" w:hAnsi="Arial" w:cs="Arial"/>
                    <w:color w:val="000000"/>
                    <w:sz w:val="16"/>
                  </w:rPr>
                  <w:t>Mehrabian &amp; Russell (1974)</w:t>
                </w:r>
              </w:sdtContent>
            </w:sdt>
          </w:p>
        </w:tc>
      </w:tr>
      <w:tr w:rsidR="00653A61" w14:paraId="46E87525" w14:textId="77777777">
        <w:trPr>
          <w:trHeight w:val="56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EE89974"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C53DADF"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8006DC9"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3808A84"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Emoción positiva</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54EC346"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Comprar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me genera sensaciones positivas.</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9A5F553"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VE2</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EC14107" w14:textId="77777777" w:rsidR="00653A61" w:rsidRDefault="0067062A">
            <w:pPr>
              <w:spacing w:after="0" w:line="240" w:lineRule="auto"/>
              <w:rPr>
                <w:rFonts w:ascii="Arial" w:eastAsia="Times New Roman" w:hAnsi="Arial" w:cs="Arial"/>
                <w:color w:val="000000"/>
                <w:sz w:val="16"/>
                <w:szCs w:val="16"/>
                <w:lang w:eastAsia="es-CO"/>
              </w:rPr>
            </w:pPr>
            <w:sdt>
              <w:sdtPr>
                <w:tag w:val="MENDELEY_CITATION_v3_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"/>
                <w:id w:val="1245611903"/>
                <w:placeholder>
                  <w:docPart w:val="5691A6E8DE934DA2865D7A2E0142210C"/>
                </w:placeholder>
                <w:text/>
              </w:sdtPr>
              <w:sdtEndPr/>
              <w:sdtContent>
                <w:r w:rsidR="00563720">
                  <w:rPr>
                    <w:rFonts w:ascii="Arial" w:eastAsia="Times New Roman" w:hAnsi="Arial" w:cs="Arial"/>
                    <w:color w:val="000000"/>
                    <w:sz w:val="16"/>
                    <w:szCs w:val="16"/>
                    <w:lang w:eastAsia="es-CO"/>
                  </w:rPr>
                  <w:t>Achar et al. (2016)</w:t>
                </w:r>
              </w:sdtContent>
            </w:sdt>
          </w:p>
        </w:tc>
      </w:tr>
      <w:tr w:rsidR="00653A61" w14:paraId="2B3F8779" w14:textId="77777777">
        <w:trPr>
          <w:trHeight w:val="66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EE2F0D8"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33E7798"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E7ED5FD"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2E42798"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Satisfacción</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5CFE682"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Me siento satisfecho(a) con la experiencia de compra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3CADF79"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VE3</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8EBDB0F"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"/>
                <w:id w:val="1677155112"/>
                <w:placeholder>
                  <w:docPart w:val="61749D49E76B4BADA9A39B87D415F6F0"/>
                </w:placeholder>
                <w:text/>
              </w:sdtPr>
              <w:sdtEndPr/>
              <w:sdtContent>
                <w:r w:rsidR="00563720">
                  <w:rPr>
                    <w:rFonts w:ascii="Arial" w:eastAsia="Times New Roman" w:hAnsi="Arial" w:cs="Arial"/>
                    <w:color w:val="000000"/>
                    <w:sz w:val="16"/>
                  </w:rPr>
                  <w:t>Mehrabian &amp; Russell (1974)</w:t>
                </w:r>
              </w:sdtContent>
            </w:sdt>
          </w:p>
        </w:tc>
      </w:tr>
      <w:tr w:rsidR="00653A61" w14:paraId="23272FCB" w14:textId="77777777">
        <w:trPr>
          <w:trHeight w:val="84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F3CE933"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ECB24DE"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2521C3B"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311FD7E"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Sensación posterior positiva</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436A090"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La experiencia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me </w:t>
            </w:r>
            <w:r>
              <w:rPr>
                <w:rFonts w:ascii="Arial" w:eastAsia="Times New Roman" w:hAnsi="Arial" w:cs="Arial"/>
                <w:color w:val="000000"/>
                <w:sz w:val="16"/>
                <w:szCs w:val="16"/>
                <w:lang w:eastAsia="es-CO"/>
              </w:rPr>
              <w:lastRenderedPageBreak/>
              <w:t>deja una sensación positiva después de navegar o comprar.</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EBAB3B0"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lastRenderedPageBreak/>
              <w:t>VE4</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B8C5F0D" w14:textId="77777777" w:rsidR="00653A61" w:rsidRDefault="0067062A">
            <w:pPr>
              <w:spacing w:after="0" w:line="240" w:lineRule="auto"/>
              <w:rPr>
                <w:rFonts w:ascii="Arial" w:eastAsia="Times New Roman" w:hAnsi="Arial" w:cs="Arial"/>
                <w:color w:val="000000"/>
                <w:sz w:val="16"/>
                <w:szCs w:val="16"/>
                <w:lang w:eastAsia="es-CO"/>
              </w:rPr>
            </w:pPr>
            <w:sdt>
              <w:sdtPr>
                <w:tag w:val="MENDELEY_CITATION_v3_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"/>
                <w:id w:val="1817837922"/>
                <w:placeholder>
                  <w:docPart w:val="5FA19B4D264A43B2A0ACED71310C2711"/>
                </w:placeholder>
                <w:text/>
              </w:sdtPr>
              <w:sdtEndPr/>
              <w:sdtContent>
                <w:r w:rsidR="00563720">
                  <w:rPr>
                    <w:rFonts w:ascii="Arial" w:eastAsia="Times New Roman" w:hAnsi="Arial" w:cs="Arial"/>
                    <w:color w:val="000000"/>
                    <w:sz w:val="16"/>
                    <w:szCs w:val="16"/>
                    <w:lang w:eastAsia="es-CO"/>
                  </w:rPr>
                  <w:t>Achar et al. (2016)</w:t>
                </w:r>
              </w:sdtContent>
            </w:sdt>
          </w:p>
        </w:tc>
      </w:tr>
      <w:tr w:rsidR="00653A61" w14:paraId="7418CAB5" w14:textId="77777777">
        <w:trPr>
          <w:trHeight w:val="65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1614FD2"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D3FF34B"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9657371"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Activación emocional (</w:t>
            </w:r>
            <w:proofErr w:type="spellStart"/>
            <w:r>
              <w:rPr>
                <w:rFonts w:ascii="Arial" w:eastAsia="Times New Roman" w:hAnsi="Arial" w:cs="Arial"/>
                <w:color w:val="000000"/>
                <w:sz w:val="16"/>
                <w:szCs w:val="16"/>
                <w:lang w:eastAsia="es-CO"/>
              </w:rPr>
              <w:t>arousal</w:t>
            </w:r>
            <w:proofErr w:type="spellEnd"/>
            <w:r>
              <w:rPr>
                <w:rFonts w:ascii="Arial" w:eastAsia="Times New Roman" w:hAnsi="Arial" w:cs="Arial"/>
                <w:color w:val="000000"/>
                <w:sz w:val="16"/>
                <w:szCs w:val="16"/>
                <w:lang w:eastAsia="es-CO"/>
              </w:rPr>
              <w:t>)</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40A7ECE"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Estimulación</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1AF8CFE"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Navegar por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me genera emoción o entusiasmo.</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6C08BD1"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AE1</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3C0BCD3"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"/>
                <w:id w:val="1192724058"/>
                <w:placeholder>
                  <w:docPart w:val="07B412329F264BA8839DE08237B297B4"/>
                </w:placeholder>
                <w:text/>
              </w:sdtPr>
              <w:sdtEndPr/>
              <w:sdtContent>
                <w:r w:rsidR="00563720">
                  <w:rPr>
                    <w:rFonts w:ascii="Arial" w:eastAsia="Times New Roman" w:hAnsi="Arial" w:cs="Arial"/>
                    <w:color w:val="000000"/>
                    <w:sz w:val="16"/>
                  </w:rPr>
                  <w:t>Mehrabian &amp; Russell (1974)</w:t>
                </w:r>
              </w:sdtContent>
            </w:sdt>
          </w:p>
        </w:tc>
      </w:tr>
      <w:tr w:rsidR="00653A61" w14:paraId="12D5EBB1" w14:textId="77777777">
        <w:trPr>
          <w:trHeight w:val="96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6257CB5"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72E2ECE"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1C662D6"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2CA88F5"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Urgencia emocional</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EF4D0FA"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Las promociones y ofertas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me generan sensación de urgencia por comprar.</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1020CF2"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AE2</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6B758CA"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"/>
                <w:id w:val="-1974125173"/>
                <w:placeholder>
                  <w:docPart w:val="17C4F98550AF4D29AFD56C498F887157"/>
                </w:placeholder>
                <w:text/>
              </w:sdtPr>
              <w:sdtEndPr/>
              <w:sdtContent>
                <w:r w:rsidR="00563720">
                  <w:rPr>
                    <w:rFonts w:ascii="Arial" w:eastAsia="Times New Roman" w:hAnsi="Arial" w:cs="Arial"/>
                    <w:color w:val="000000"/>
                    <w:sz w:val="16"/>
                    <w:szCs w:val="16"/>
                    <w:lang w:eastAsia="es-CO"/>
                  </w:rPr>
                  <w:t>Tan, Y. (2024a)</w:t>
                </w:r>
              </w:sdtContent>
            </w:sdt>
          </w:p>
        </w:tc>
      </w:tr>
      <w:tr w:rsidR="00653A61" w14:paraId="078C3880" w14:textId="77777777">
        <w:trPr>
          <w:trHeight w:val="56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3BFA285"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9CA8B27"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A4931E8"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50C69D8"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Impulso</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8457821"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Al ver productos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me emociono y quiero seguir explorando.</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C1E8326"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AE3</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99A17B4"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"/>
                <w:id w:val="1520733756"/>
                <w:placeholder>
                  <w:docPart w:val="A57F2E73D0CE4351AC9E5791CE971BAB"/>
                </w:placeholder>
                <w:text/>
              </w:sdtPr>
              <w:sdtEndPr/>
              <w:sdtContent>
                <w:r w:rsidR="00563720">
                  <w:rPr>
                    <w:rFonts w:ascii="Arial" w:eastAsia="Times New Roman" w:hAnsi="Arial" w:cs="Arial"/>
                    <w:color w:val="000000"/>
                    <w:sz w:val="16"/>
                    <w:szCs w:val="16"/>
                    <w:lang w:eastAsia="es-CO"/>
                  </w:rPr>
                  <w:t>Tan, Y. (2024a)</w:t>
                </w:r>
              </w:sdtContent>
            </w:sdt>
          </w:p>
        </w:tc>
      </w:tr>
      <w:tr w:rsidR="00653A61" w14:paraId="35755993" w14:textId="77777777">
        <w:trPr>
          <w:trHeight w:val="56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9602D64"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9BA1337"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2802689"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9530B6B"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Impulso de compra</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1E9E3CE"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Cuando encuentro descuentos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siento impulso por comprar.</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4D5512B"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AE4</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697B7DC"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"/>
                <w:id w:val="-220530787"/>
                <w:placeholder>
                  <w:docPart w:val="1FB703034E624C619874E1630200D195"/>
                </w:placeholder>
                <w:text/>
              </w:sdtPr>
              <w:sdtEndPr/>
              <w:sdtContent>
                <w:r w:rsidR="00563720">
                  <w:rPr>
                    <w:rFonts w:ascii="Arial" w:eastAsia="Times New Roman" w:hAnsi="Arial" w:cs="Arial"/>
                    <w:color w:val="000000"/>
                    <w:sz w:val="16"/>
                    <w:szCs w:val="16"/>
                    <w:lang w:eastAsia="es-CO"/>
                  </w:rPr>
                  <w:t>Tan, Y.  (2024a)</w:t>
                </w:r>
              </w:sdtContent>
            </w:sdt>
          </w:p>
        </w:tc>
      </w:tr>
      <w:tr w:rsidR="00653A61" w14:paraId="45F7524C" w14:textId="77777777">
        <w:trPr>
          <w:trHeight w:val="57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1FA308B"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6254407"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EAF7A02"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Experiencia emocional digital</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CE8AB25"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Involucramiento emocional</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4FA6D33"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Disfruto interactuar con la experiencia digital que ofrecen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63C37A9"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ED1</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F302B3C"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"/>
                <w:id w:val="-1380397573"/>
                <w:placeholder>
                  <w:docPart w:val="FF9E7AD2F0CB44E084B0FFE5FF014A13"/>
                </w:placeholder>
                <w:text/>
              </w:sdtPr>
              <w:sdtEndPr/>
              <w:sdtContent>
                <w:r w:rsidR="00563720">
                  <w:rPr>
                    <w:rFonts w:ascii="Arial" w:eastAsia="Times New Roman" w:hAnsi="Arial" w:cs="Arial"/>
                    <w:color w:val="000000"/>
                    <w:sz w:val="16"/>
                  </w:rPr>
                  <w:t xml:space="preserve">Hwang &amp; </w:t>
                </w:r>
                <w:proofErr w:type="spellStart"/>
                <w:r w:rsidR="00563720">
                  <w:rPr>
                    <w:rFonts w:ascii="Arial" w:eastAsia="Times New Roman" w:hAnsi="Arial" w:cs="Arial"/>
                    <w:color w:val="000000"/>
                    <w:sz w:val="16"/>
                  </w:rPr>
                  <w:t>Kandampully</w:t>
                </w:r>
                <w:proofErr w:type="spellEnd"/>
                <w:r w:rsidR="00563720">
                  <w:rPr>
                    <w:rFonts w:ascii="Arial" w:eastAsia="Times New Roman" w:hAnsi="Arial" w:cs="Arial"/>
                    <w:color w:val="000000"/>
                    <w:sz w:val="16"/>
                  </w:rPr>
                  <w:t xml:space="preserve"> (2012)</w:t>
                </w:r>
              </w:sdtContent>
            </w:sdt>
          </w:p>
        </w:tc>
      </w:tr>
      <w:tr w:rsidR="00653A61" w14:paraId="0E718CFE" w14:textId="77777777">
        <w:trPr>
          <w:trHeight w:val="56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C1CFB9C"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EED6CE2"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576F271"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F3FB8CF"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Estímulo emocional</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AA1BC49"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La experiencia digital de las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resulta emocionalmente estimulante para mí.</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9C10340"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ED2</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CA69A13"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"/>
                <w:id w:val="-1877768567"/>
                <w:placeholder>
                  <w:docPart w:val="E092070C9300434D848A387ADF48F006"/>
                </w:placeholder>
                <w:text/>
              </w:sdtPr>
              <w:sdtEndPr/>
              <w:sdtContent>
                <w:r w:rsidR="00563720">
                  <w:rPr>
                    <w:rFonts w:ascii="Arial" w:eastAsia="Times New Roman" w:hAnsi="Arial" w:cs="Arial"/>
                    <w:color w:val="000000"/>
                    <w:sz w:val="16"/>
                    <w:szCs w:val="16"/>
                    <w:lang w:eastAsia="es-CO"/>
                  </w:rPr>
                  <w:t>Valverde et al. (2023)</w:t>
                </w:r>
              </w:sdtContent>
            </w:sdt>
          </w:p>
        </w:tc>
      </w:tr>
      <w:tr w:rsidR="00653A61" w14:paraId="41FA1E71" w14:textId="77777777">
        <w:trPr>
          <w:trHeight w:val="84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53AA7B1"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6400CB7"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234930A"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5F98FD8"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Atención sostenida</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2102790"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Las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logran captar mi atención y mantenerme interesado(a) durante la navegación.</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0CAA4D8"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ED3</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922AAA9"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"/>
                <w:id w:val="-1986841341"/>
                <w:placeholder>
                  <w:docPart w:val="FEBCB66470F24E23850B57C24EBF812B"/>
                </w:placeholder>
                <w:text/>
              </w:sdtPr>
              <w:sdtEndPr/>
              <w:sdtContent>
                <w:r w:rsidR="00563720">
                  <w:rPr>
                    <w:rFonts w:ascii="Arial" w:eastAsia="Times New Roman" w:hAnsi="Arial" w:cs="Arial"/>
                    <w:color w:val="000000"/>
                    <w:sz w:val="16"/>
                  </w:rPr>
                  <w:t xml:space="preserve">Hwang &amp; </w:t>
                </w:r>
                <w:proofErr w:type="spellStart"/>
                <w:r w:rsidR="00563720">
                  <w:rPr>
                    <w:rFonts w:ascii="Arial" w:eastAsia="Times New Roman" w:hAnsi="Arial" w:cs="Arial"/>
                    <w:color w:val="000000"/>
                    <w:sz w:val="16"/>
                  </w:rPr>
                  <w:t>Kandampully</w:t>
                </w:r>
                <w:proofErr w:type="spellEnd"/>
                <w:r w:rsidR="00563720">
                  <w:rPr>
                    <w:rFonts w:ascii="Arial" w:eastAsia="Times New Roman" w:hAnsi="Arial" w:cs="Arial"/>
                    <w:color w:val="000000"/>
                    <w:sz w:val="16"/>
                  </w:rPr>
                  <w:t xml:space="preserve"> (2012)</w:t>
                </w:r>
              </w:sdtContent>
            </w:sdt>
          </w:p>
        </w:tc>
      </w:tr>
      <w:tr w:rsidR="00653A61" w14:paraId="26C53607" w14:textId="77777777">
        <w:trPr>
          <w:trHeight w:val="840"/>
        </w:trPr>
        <w:tc>
          <w:tcPr>
            <w:tcW w:w="1128"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36E9C9C"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57AD20E" w14:textId="77777777" w:rsidR="00653A61" w:rsidRDefault="00653A61">
            <w:pPr>
              <w:spacing w:after="0" w:line="240" w:lineRule="auto"/>
              <w:rPr>
                <w:rFonts w:ascii="Arial" w:eastAsia="Times New Roman" w:hAnsi="Arial" w:cs="Arial"/>
                <w:color w:val="000000"/>
                <w:sz w:val="16"/>
                <w:szCs w:val="16"/>
                <w:lang w:eastAsia="es-CO"/>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3D94491" w14:textId="77777777" w:rsidR="00653A61" w:rsidRDefault="00653A61">
            <w:pPr>
              <w:spacing w:after="0" w:line="240" w:lineRule="auto"/>
              <w:rPr>
                <w:rFonts w:ascii="Arial" w:eastAsia="Times New Roman" w:hAnsi="Arial" w:cs="Arial"/>
                <w:color w:val="000000"/>
                <w:sz w:val="16"/>
                <w:szCs w:val="16"/>
                <w:lang w:eastAsia="es-CO"/>
              </w:rPr>
            </w:pP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1285495"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Presentación atractiva</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3418CCF"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La forma en que las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presentan los productos hace que la experiencia se sienta atractiva.</w:t>
            </w:r>
          </w:p>
        </w:tc>
        <w:tc>
          <w:tcPr>
            <w:tcW w:w="76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4C388EB"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ED4</w:t>
            </w:r>
          </w:p>
        </w:tc>
        <w:tc>
          <w:tcPr>
            <w:tcW w:w="93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C684252"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"/>
                <w:id w:val="-214736160"/>
                <w:placeholder>
                  <w:docPart w:val="B55E92043E0A40E982C09925D6D7FB68"/>
                </w:placeholder>
                <w:text/>
              </w:sdtPr>
              <w:sdtEndPr/>
              <w:sdtContent>
                <w:r w:rsidR="00563720">
                  <w:rPr>
                    <w:rFonts w:ascii="Arial" w:eastAsia="Times New Roman" w:hAnsi="Arial" w:cs="Arial"/>
                    <w:color w:val="000000"/>
                    <w:sz w:val="16"/>
                    <w:szCs w:val="16"/>
                    <w:lang w:eastAsia="es-CO"/>
                  </w:rPr>
                  <w:t>Valverde et al. (2023)</w:t>
                </w:r>
              </w:sdtContent>
            </w:sdt>
          </w:p>
        </w:tc>
      </w:tr>
    </w:tbl>
    <w:p w14:paraId="76B67D09" w14:textId="77777777" w:rsidR="00653A61" w:rsidRDefault="00653A61">
      <w:pPr>
        <w:jc w:val="both"/>
        <w:rPr>
          <w:rFonts w:ascii="Arial" w:hAnsi="Arial" w:cs="Arial"/>
          <w:color w:val="2E74B5" w:themeColor="accent1" w:themeShade="BF"/>
          <w:sz w:val="24"/>
          <w:szCs w:val="24"/>
        </w:rPr>
      </w:pPr>
    </w:p>
    <w:p w14:paraId="51E7C1F2" w14:textId="77777777" w:rsidR="00653A61" w:rsidRDefault="00563720">
      <w:pPr>
        <w:jc w:val="center"/>
        <w:rPr>
          <w:rFonts w:ascii="Arial" w:hAnsi="Arial" w:cs="Arial"/>
          <w:color w:val="2E74B5" w:themeColor="accent1" w:themeShade="BF"/>
          <w:sz w:val="24"/>
          <w:szCs w:val="24"/>
        </w:rPr>
      </w:pPr>
      <w:r>
        <w:rPr>
          <w:rFonts w:ascii="Arial" w:hAnsi="Arial" w:cs="Arial"/>
          <w:b/>
          <w:bCs/>
          <w:color w:val="2E74B5" w:themeColor="accent1" w:themeShade="BF"/>
          <w:sz w:val="24"/>
          <w:szCs w:val="24"/>
        </w:rPr>
        <w:t>Fuente:</w:t>
      </w:r>
      <w:r>
        <w:rPr>
          <w:rFonts w:ascii="Arial" w:hAnsi="Arial" w:cs="Arial"/>
          <w:color w:val="2E74B5" w:themeColor="accent1" w:themeShade="BF"/>
          <w:sz w:val="24"/>
          <w:szCs w:val="24"/>
        </w:rPr>
        <w:t xml:space="preserve"> Elaboración propia con base en (Mehrabian &amp; Russell 1974; Hernández-Sampieri &amp; Mendoza 2020) y literatura especializada.</w:t>
      </w:r>
    </w:p>
    <w:p w14:paraId="43084E89" w14:textId="77777777" w:rsidR="00653A61" w:rsidRDefault="00653A61">
      <w:pPr>
        <w:jc w:val="center"/>
        <w:rPr>
          <w:rFonts w:ascii="Arial" w:hAnsi="Arial" w:cs="Arial"/>
          <w:color w:val="2E74B5" w:themeColor="accent1" w:themeShade="BF"/>
          <w:sz w:val="24"/>
          <w:szCs w:val="24"/>
        </w:rPr>
      </w:pPr>
    </w:p>
    <w:p w14:paraId="30B9ADA5"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 xml:space="preserve">Comportamiento de compra en plataformas de </w:t>
      </w:r>
      <w:proofErr w:type="spellStart"/>
      <w:r>
        <w:rPr>
          <w:rFonts w:ascii="Arial" w:hAnsi="Arial" w:cs="Arial"/>
          <w:b/>
          <w:bCs/>
          <w:i/>
          <w:color w:val="2E74B5" w:themeColor="accent1" w:themeShade="BF"/>
          <w:sz w:val="24"/>
          <w:szCs w:val="24"/>
        </w:rPr>
        <w:t>fast</w:t>
      </w:r>
      <w:proofErr w:type="spellEnd"/>
      <w:r>
        <w:rPr>
          <w:rFonts w:ascii="Arial" w:hAnsi="Arial" w:cs="Arial"/>
          <w:b/>
          <w:bCs/>
          <w:i/>
          <w:color w:val="2E74B5" w:themeColor="accent1" w:themeShade="BF"/>
          <w:sz w:val="24"/>
          <w:szCs w:val="24"/>
        </w:rPr>
        <w:t xml:space="preserve"> </w:t>
      </w:r>
      <w:proofErr w:type="spellStart"/>
      <w:r>
        <w:rPr>
          <w:rFonts w:ascii="Arial" w:hAnsi="Arial" w:cs="Arial"/>
          <w:b/>
          <w:bCs/>
          <w:i/>
          <w:color w:val="2E74B5" w:themeColor="accent1" w:themeShade="BF"/>
          <w:sz w:val="24"/>
          <w:szCs w:val="24"/>
        </w:rPr>
        <w:t>fashion</w:t>
      </w:r>
      <w:proofErr w:type="spellEnd"/>
    </w:p>
    <w:p w14:paraId="5E475E8B" w14:textId="77777777" w:rsidR="00653A61" w:rsidRDefault="00653A61">
      <w:pPr>
        <w:jc w:val="both"/>
        <w:rPr>
          <w:rFonts w:ascii="Arial" w:hAnsi="Arial" w:cs="Arial"/>
          <w:color w:val="2E74B5" w:themeColor="accent1" w:themeShade="BF"/>
          <w:sz w:val="24"/>
          <w:szCs w:val="24"/>
        </w:rPr>
      </w:pPr>
    </w:p>
    <w:p w14:paraId="7302DEE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Se entiende como la manifestación conductual derivada de la interacción emocional con las plataformas, incluyendo la frecuencia de compra, la intención de recompra y la preferencia por el canal digital. La literatura señala que las emociones preceden y se asocian con el comportamiento de compra, especialmente en contextos de consumo digital y moda (Garcés-Giraldo et al. 2022).</w:t>
      </w:r>
    </w:p>
    <w:p w14:paraId="502E06AE" w14:textId="77777777" w:rsidR="00653A61" w:rsidRDefault="00653A61">
      <w:pPr>
        <w:jc w:val="both"/>
        <w:rPr>
          <w:rFonts w:ascii="Arial" w:hAnsi="Arial" w:cs="Arial"/>
          <w:color w:val="2E74B5" w:themeColor="accent1" w:themeShade="BF"/>
          <w:sz w:val="24"/>
          <w:szCs w:val="24"/>
        </w:rPr>
      </w:pPr>
    </w:p>
    <w:p w14:paraId="10C3150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comportamiento de compra se considera la variable intermedia del estudio y se entiende como la manifestación conductual derivada de la interacción emocional del consumidor con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Desde un enfoque teórico, esta variable se sustenta en el modelo estímulo, organismo y respuesta (SOR), según el cual los estímulos del entorno influyen en los estados internos del individuo, tales como emociones y actitudes, los cuales se traducen posteriormente en respuestas conductuales observables (Mehrabian &amp; Russell 1974).</w:t>
      </w:r>
    </w:p>
    <w:p w14:paraId="270B9DBE" w14:textId="77777777" w:rsidR="00653A61" w:rsidRDefault="00653A61">
      <w:pPr>
        <w:jc w:val="both"/>
        <w:rPr>
          <w:rFonts w:ascii="Arial" w:hAnsi="Arial" w:cs="Arial"/>
          <w:color w:val="2E74B5" w:themeColor="accent1" w:themeShade="BF"/>
          <w:sz w:val="24"/>
          <w:szCs w:val="24"/>
        </w:rPr>
      </w:pPr>
    </w:p>
    <w:p w14:paraId="03AF4BD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el contexto del comercio electrónico, la literatura ha demostrado que las emociones preceden y se asocian en gran medida con el comportamiento de compra, especialmente en sectores caracterizados por la inmediatez y la renovación constante como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(Garcés-Giraldo et al. 2022; </w:t>
      </w:r>
      <w:proofErr w:type="spellStart"/>
      <w:r>
        <w:rPr>
          <w:rFonts w:ascii="Arial" w:hAnsi="Arial" w:cs="Arial"/>
          <w:color w:val="2E74B5" w:themeColor="accent1" w:themeShade="BF"/>
          <w:sz w:val="24"/>
          <w:szCs w:val="24"/>
        </w:rPr>
        <w:t>LimaVargas</w:t>
      </w:r>
      <w:proofErr w:type="spellEnd"/>
      <w:r>
        <w:rPr>
          <w:rFonts w:ascii="Arial" w:hAnsi="Arial" w:cs="Arial"/>
          <w:color w:val="2E74B5" w:themeColor="accent1" w:themeShade="BF"/>
          <w:sz w:val="24"/>
          <w:szCs w:val="24"/>
        </w:rPr>
        <w:t xml:space="preserve"> et al. 2022). </w:t>
      </w:r>
      <w:proofErr w:type="gramStart"/>
      <w:r>
        <w:rPr>
          <w:rFonts w:ascii="Arial" w:hAnsi="Arial" w:cs="Arial"/>
          <w:color w:val="2E74B5" w:themeColor="accent1" w:themeShade="BF"/>
          <w:sz w:val="24"/>
          <w:szCs w:val="24"/>
        </w:rPr>
        <w:t>De acuerdo a</w:t>
      </w:r>
      <w:proofErr w:type="gramEnd"/>
      <w:r>
        <w:rPr>
          <w:rFonts w:ascii="Arial" w:hAnsi="Arial" w:cs="Arial"/>
          <w:color w:val="2E74B5" w:themeColor="accent1" w:themeShade="BF"/>
          <w:sz w:val="24"/>
          <w:szCs w:val="24"/>
        </w:rPr>
        <w:t xml:space="preserve"> lo anterior, el comportamiento de compra se conceptualiza como una consecuencia directa de las respuestas emocionales generadas por la experiencia digital.</w:t>
      </w:r>
    </w:p>
    <w:p w14:paraId="76FCDAA1" w14:textId="77777777" w:rsidR="00653A61" w:rsidRDefault="00653A61">
      <w:pPr>
        <w:jc w:val="both"/>
        <w:rPr>
          <w:rFonts w:ascii="Arial" w:hAnsi="Arial" w:cs="Arial"/>
          <w:color w:val="2E74B5" w:themeColor="accent1" w:themeShade="BF"/>
          <w:sz w:val="24"/>
          <w:szCs w:val="24"/>
        </w:rPr>
      </w:pPr>
    </w:p>
    <w:p w14:paraId="5D5C51C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El concepto de comportamiento de compra en esta investigación se define como una respuesta conductual mediada por las emociones generadas durante la experiencia digital, de acuerdo con el enfoque estímulo, organismo y respuesta (SOR). Desde esta perspectiva, los estímulos presentes en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se relacionan con los estados emocionales del consumidor, los cuales se traducen en decisiones y patrones de compra observables.</w:t>
      </w:r>
    </w:p>
    <w:p w14:paraId="39BAA39A" w14:textId="77777777" w:rsidR="00653A61" w:rsidRDefault="00653A61">
      <w:pPr>
        <w:jc w:val="both"/>
        <w:rPr>
          <w:rFonts w:ascii="Arial" w:hAnsi="Arial" w:cs="Arial"/>
          <w:color w:val="2E74B5" w:themeColor="accent1" w:themeShade="BF"/>
          <w:sz w:val="24"/>
          <w:szCs w:val="24"/>
        </w:rPr>
      </w:pPr>
    </w:p>
    <w:p w14:paraId="4823100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elección de las dimensiones como frecuencia de compra, intención de recompra y preferencia por el canal digital permite capturar no solo el comportamiento pasado sino la disposición futura de los jóvenes frente a estas plataformas. Estas dimensiones han sido ampliamente utilizadas en estudios previos acerca de comercio electrónico y consumo digital, dado que reflejan la repetición del comportamiento, la evaluación de la experiencia previa y la priorización del canal frente a alternativas tradicionales o locales.</w:t>
      </w:r>
    </w:p>
    <w:p w14:paraId="042AC885" w14:textId="77777777" w:rsidR="00653A61" w:rsidRDefault="00653A61">
      <w:pPr>
        <w:jc w:val="both"/>
        <w:rPr>
          <w:rFonts w:ascii="Arial" w:hAnsi="Arial" w:cs="Arial"/>
          <w:color w:val="2E74B5" w:themeColor="accent1" w:themeShade="BF"/>
          <w:sz w:val="24"/>
          <w:szCs w:val="24"/>
        </w:rPr>
      </w:pPr>
    </w:p>
    <w:p w14:paraId="785B3FF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Dentro del contexto del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digital, estas dimensiones resultan especialmente relevantes, ya que permiten comprender la recurrencia del consumo, la consolidación del canal como primera opción de compra y la normalización de decisiones rápidas mediadas por estímulos emocionales.</w:t>
      </w:r>
    </w:p>
    <w:p w14:paraId="5FB2335C" w14:textId="77777777" w:rsidR="00653A61" w:rsidRDefault="00653A61">
      <w:pPr>
        <w:jc w:val="both"/>
        <w:rPr>
          <w:rFonts w:ascii="Arial" w:hAnsi="Arial" w:cs="Arial"/>
          <w:color w:val="2E74B5" w:themeColor="accent1" w:themeShade="BF"/>
          <w:sz w:val="24"/>
          <w:szCs w:val="24"/>
        </w:rPr>
      </w:pPr>
    </w:p>
    <w:p w14:paraId="52692CA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escala de medición de esta variable se estructura en tres dimensiones principales:</w:t>
      </w:r>
    </w:p>
    <w:p w14:paraId="27E319E0" w14:textId="77777777" w:rsidR="00653A61" w:rsidRDefault="00653A61">
      <w:pPr>
        <w:jc w:val="both"/>
        <w:rPr>
          <w:rFonts w:ascii="Arial" w:hAnsi="Arial" w:cs="Arial"/>
          <w:color w:val="2E74B5" w:themeColor="accent1" w:themeShade="BF"/>
          <w:sz w:val="24"/>
          <w:szCs w:val="24"/>
        </w:rPr>
      </w:pPr>
    </w:p>
    <w:p w14:paraId="4E646EFB" w14:textId="77777777" w:rsidR="00653A61" w:rsidRDefault="00563720">
      <w:pPr>
        <w:pStyle w:val="Prrafodelista"/>
        <w:numPr>
          <w:ilvl w:val="0"/>
          <w:numId w:val="6"/>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Frecuencia de compra: recoge la regularidad con la que los jóvenes realizan compras de moda en plataformas permitiendo identificar patrones de consumo recurrentes (Hellier et al., 2003).</w:t>
      </w:r>
    </w:p>
    <w:p w14:paraId="7E026D65" w14:textId="77777777" w:rsidR="00653A61" w:rsidRDefault="00653A61">
      <w:pPr>
        <w:jc w:val="both"/>
        <w:rPr>
          <w:rFonts w:ascii="Arial" w:hAnsi="Arial" w:cs="Arial"/>
          <w:color w:val="2E74B5" w:themeColor="accent1" w:themeShade="BF"/>
          <w:sz w:val="24"/>
          <w:szCs w:val="24"/>
        </w:rPr>
      </w:pPr>
    </w:p>
    <w:p w14:paraId="3E2BB035" w14:textId="77777777" w:rsidR="00653A61" w:rsidRDefault="00563720">
      <w:pPr>
        <w:pStyle w:val="Prrafodelista"/>
        <w:numPr>
          <w:ilvl w:val="0"/>
          <w:numId w:val="6"/>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Intención de recompra: refleja la disposición futura del consumidor a continuar comprando en estas plataformas, a partir de la evaluación global de su experiencia previa (Hellier et al., 2003).</w:t>
      </w:r>
    </w:p>
    <w:p w14:paraId="2D13A61D" w14:textId="77777777" w:rsidR="00653A61" w:rsidRDefault="00653A61">
      <w:pPr>
        <w:jc w:val="both"/>
        <w:rPr>
          <w:rFonts w:ascii="Arial" w:hAnsi="Arial" w:cs="Arial"/>
          <w:color w:val="2E74B5" w:themeColor="accent1" w:themeShade="BF"/>
          <w:sz w:val="24"/>
          <w:szCs w:val="24"/>
        </w:rPr>
      </w:pPr>
    </w:p>
    <w:p w14:paraId="65D87D9A" w14:textId="77777777" w:rsidR="00653A61" w:rsidRDefault="00563720">
      <w:pPr>
        <w:pStyle w:val="Prrafodelista"/>
        <w:numPr>
          <w:ilvl w:val="0"/>
          <w:numId w:val="6"/>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Preferencia por el canal digital: mide la inclinación del consumidor a priorizar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digitales frente a otros canales de compra, incluyendo plataformas de marcas locales (Hellier et al., 2003).</w:t>
      </w:r>
    </w:p>
    <w:p w14:paraId="3D575955" w14:textId="77777777" w:rsidR="00653A61" w:rsidRDefault="00653A61">
      <w:pPr>
        <w:pStyle w:val="Prrafodelista"/>
        <w:rPr>
          <w:rFonts w:ascii="Arial" w:hAnsi="Arial" w:cs="Arial"/>
          <w:color w:val="2E74B5" w:themeColor="accent1" w:themeShade="BF"/>
          <w:sz w:val="24"/>
          <w:szCs w:val="24"/>
        </w:rPr>
      </w:pPr>
    </w:p>
    <w:p w14:paraId="5B0AEA4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Estas dimensiones permiten recopilar tanto el comportamiento pasado como la disposición futura del consumidor, aportando una visión integral del comportamiento de compra en entornos digitales intensivos. Los ítems fueron adaptados de investigaciones previas sobre comportamiento del consumidor y comercio electrónico, asegurando su pertinencia para el contexto del estudio (Hellier et al., 2003; Garcés-Giraldo et al., 2022; Liu, 2022).</w:t>
      </w:r>
    </w:p>
    <w:p w14:paraId="4CCB25F9" w14:textId="77777777" w:rsidR="00653A61" w:rsidRDefault="00653A61">
      <w:pPr>
        <w:jc w:val="both"/>
        <w:rPr>
          <w:rFonts w:ascii="Arial" w:hAnsi="Arial" w:cs="Arial"/>
          <w:color w:val="2E74B5" w:themeColor="accent1" w:themeShade="BF"/>
          <w:sz w:val="24"/>
          <w:szCs w:val="24"/>
        </w:rPr>
      </w:pPr>
    </w:p>
    <w:p w14:paraId="287C9C6C"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Tabla 2: Operacionalización de la variable, comportamiento de compra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p>
    <w:p w14:paraId="4F89A257" w14:textId="77777777" w:rsidR="00653A61" w:rsidRDefault="00653A61">
      <w:pPr>
        <w:jc w:val="center"/>
        <w:rPr>
          <w:rFonts w:ascii="Arial" w:hAnsi="Arial" w:cs="Arial"/>
          <w:color w:val="2E74B5" w:themeColor="accent1" w:themeShade="BF"/>
          <w:sz w:val="24"/>
          <w:szCs w:val="24"/>
        </w:rPr>
      </w:pPr>
    </w:p>
    <w:tbl>
      <w:tblPr>
        <w:tblW w:w="7508" w:type="dxa"/>
        <w:jc w:val="center"/>
        <w:tblLayout w:type="fixed"/>
        <w:tblCellMar>
          <w:left w:w="70" w:type="dxa"/>
          <w:right w:w="70" w:type="dxa"/>
        </w:tblCellMar>
        <w:tblLook w:val="04A0" w:firstRow="1" w:lastRow="0" w:firstColumn="1" w:lastColumn="0" w:noHBand="0" w:noVBand="1"/>
      </w:tblPr>
      <w:tblGrid>
        <w:gridCol w:w="1129"/>
        <w:gridCol w:w="1275"/>
        <w:gridCol w:w="1277"/>
        <w:gridCol w:w="2124"/>
        <w:gridCol w:w="769"/>
        <w:gridCol w:w="934"/>
      </w:tblGrid>
      <w:tr w:rsidR="00653A61" w14:paraId="2CF1BD6E" w14:textId="77777777">
        <w:trPr>
          <w:trHeight w:val="530"/>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E25CBE7"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Comportamiento de compra en plataformas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B0C5720"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Intermedia</w:t>
            </w:r>
          </w:p>
        </w:tc>
        <w:tc>
          <w:tcPr>
            <w:tcW w:w="12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3774A5A"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Frecuencia de compra</w:t>
            </w:r>
          </w:p>
        </w:tc>
        <w:tc>
          <w:tcPr>
            <w:tcW w:w="212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26C55D4"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Compro productos de moda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entre otras con frecuencia.</w:t>
            </w:r>
          </w:p>
        </w:tc>
        <w:tc>
          <w:tcPr>
            <w:tcW w:w="76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1259EE0"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CC1</w:t>
            </w:r>
          </w:p>
        </w:tc>
        <w:tc>
          <w:tcPr>
            <w:tcW w:w="9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B4CD0C3"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"/>
                <w:id w:val="-734008450"/>
                <w:placeholder>
                  <w:docPart w:val="3F41F5EA69E94FD89A1B7E00BAEC4332"/>
                </w:placeholder>
                <w:text/>
              </w:sdtPr>
              <w:sdtEndPr/>
              <w:sdtContent>
                <w:r w:rsidR="00563720">
                  <w:rPr>
                    <w:rFonts w:ascii="Arial" w:eastAsia="Times New Roman" w:hAnsi="Arial" w:cs="Arial"/>
                    <w:color w:val="000000"/>
                    <w:sz w:val="16"/>
                    <w:szCs w:val="16"/>
                    <w:lang w:eastAsia="es-CO"/>
                  </w:rPr>
                  <w:t>Garcés-Giraldo, Bermeo-Giraldo, Valencia-Arias, Benjumea-</w:t>
                </w:r>
                <w:r w:rsidR="00563720">
                  <w:rPr>
                    <w:rFonts w:ascii="Arial" w:eastAsia="Times New Roman" w:hAnsi="Arial" w:cs="Arial"/>
                    <w:color w:val="000000"/>
                    <w:sz w:val="16"/>
                    <w:szCs w:val="16"/>
                    <w:lang w:eastAsia="es-CO"/>
                  </w:rPr>
                  <w:lastRenderedPageBreak/>
                  <w:t>Arias, et al. (2022)</w:t>
                </w:r>
              </w:sdtContent>
            </w:sdt>
          </w:p>
        </w:tc>
      </w:tr>
      <w:tr w:rsidR="00653A61" w14:paraId="7CD25D39" w14:textId="77777777">
        <w:trPr>
          <w:trHeight w:val="560"/>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0FCF0B6" w14:textId="77777777" w:rsidR="00653A61" w:rsidRDefault="00653A61">
            <w:pPr>
              <w:spacing w:after="0" w:line="240" w:lineRule="auto"/>
              <w:rPr>
                <w:rFonts w:ascii="Arial" w:eastAsia="Times New Roman" w:hAnsi="Arial" w:cs="Arial"/>
                <w:color w:val="000000"/>
                <w:sz w:val="16"/>
                <w:szCs w:val="16"/>
                <w:lang w:eastAsia="es-CO"/>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2AB6876" w14:textId="77777777" w:rsidR="00653A61" w:rsidRDefault="00653A61">
            <w:pPr>
              <w:spacing w:after="0" w:line="240" w:lineRule="auto"/>
              <w:rPr>
                <w:rFonts w:ascii="Arial" w:eastAsia="Times New Roman" w:hAnsi="Arial" w:cs="Arial"/>
                <w:color w:val="000000"/>
                <w:sz w:val="16"/>
                <w:szCs w:val="16"/>
                <w:lang w:eastAsia="es-CO"/>
              </w:rPr>
            </w:pPr>
          </w:p>
        </w:tc>
        <w:tc>
          <w:tcPr>
            <w:tcW w:w="12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4D33163"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Intención de recompra</w:t>
            </w:r>
          </w:p>
        </w:tc>
        <w:tc>
          <w:tcPr>
            <w:tcW w:w="212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51A777C"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Es probable que continúe comprando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entre otras en el futuro.</w:t>
            </w:r>
          </w:p>
        </w:tc>
        <w:tc>
          <w:tcPr>
            <w:tcW w:w="76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366A5B1"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CC2</w:t>
            </w:r>
          </w:p>
        </w:tc>
        <w:tc>
          <w:tcPr>
            <w:tcW w:w="9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3EF4261"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"/>
                <w:id w:val="-1558780856"/>
                <w:placeholder>
                  <w:docPart w:val="DA66CDA19F9341FC8B7DBC2AF22B6DFE"/>
                </w:placeholder>
                <w:text/>
              </w:sdtPr>
              <w:sdtEndPr/>
              <w:sdtContent>
                <w:r w:rsidR="00563720">
                  <w:rPr>
                    <w:rFonts w:ascii="Arial" w:eastAsia="Times New Roman" w:hAnsi="Arial" w:cs="Arial"/>
                    <w:color w:val="000000"/>
                    <w:sz w:val="16"/>
                    <w:szCs w:val="16"/>
                    <w:lang w:eastAsia="es-CO"/>
                  </w:rPr>
                  <w:t>Lima-Vargas et al. (2022)</w:t>
                </w:r>
              </w:sdtContent>
            </w:sdt>
          </w:p>
        </w:tc>
      </w:tr>
      <w:tr w:rsidR="00653A61" w14:paraId="560A55E4" w14:textId="77777777">
        <w:trPr>
          <w:trHeight w:val="8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D4F59AE" w14:textId="77777777" w:rsidR="00653A61" w:rsidRDefault="00653A61">
            <w:pPr>
              <w:spacing w:after="0" w:line="240" w:lineRule="auto"/>
              <w:rPr>
                <w:rFonts w:ascii="Arial" w:eastAsia="Times New Roman" w:hAnsi="Arial" w:cs="Arial"/>
                <w:color w:val="000000"/>
                <w:sz w:val="16"/>
                <w:szCs w:val="16"/>
                <w:lang w:eastAsia="es-CO"/>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830395B" w14:textId="77777777" w:rsidR="00653A61" w:rsidRDefault="00653A61">
            <w:pPr>
              <w:spacing w:after="0" w:line="240" w:lineRule="auto"/>
              <w:rPr>
                <w:rFonts w:ascii="Arial" w:eastAsia="Times New Roman" w:hAnsi="Arial" w:cs="Arial"/>
                <w:color w:val="000000"/>
                <w:sz w:val="16"/>
                <w:szCs w:val="16"/>
                <w:lang w:eastAsia="es-CO"/>
              </w:rPr>
            </w:pPr>
          </w:p>
        </w:tc>
        <w:tc>
          <w:tcPr>
            <w:tcW w:w="12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D154D65"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Preferencia de canal</w:t>
            </w:r>
          </w:p>
        </w:tc>
        <w:tc>
          <w:tcPr>
            <w:tcW w:w="212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54706C4"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Prefiero comprar moda a través de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entre otras, en lugar de comprar en la plataforma de una marca local.</w:t>
            </w:r>
          </w:p>
        </w:tc>
        <w:tc>
          <w:tcPr>
            <w:tcW w:w="76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0DB5655"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CC3</w:t>
            </w:r>
          </w:p>
        </w:tc>
        <w:tc>
          <w:tcPr>
            <w:tcW w:w="9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098BDF83"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"/>
                <w:id w:val="-110819984"/>
                <w:placeholder>
                  <w:docPart w:val="A4A464261680469BB548236D3B15524D"/>
                </w:placeholder>
                <w:text/>
              </w:sdtPr>
              <w:sdtEndPr/>
              <w:sdtContent>
                <w:r w:rsidR="00563720">
                  <w:rPr>
                    <w:rFonts w:ascii="Arial" w:eastAsia="Times New Roman" w:hAnsi="Arial" w:cs="Arial"/>
                    <w:color w:val="000000"/>
                    <w:sz w:val="16"/>
                    <w:szCs w:val="16"/>
                    <w:lang w:eastAsia="es-CO"/>
                  </w:rPr>
                  <w:t>Hellier et al. (2003)</w:t>
                </w:r>
              </w:sdtContent>
            </w:sdt>
          </w:p>
        </w:tc>
      </w:tr>
      <w:tr w:rsidR="00653A61" w14:paraId="5AB00F07" w14:textId="77777777">
        <w:trPr>
          <w:trHeight w:val="8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58DF999" w14:textId="77777777" w:rsidR="00653A61" w:rsidRDefault="00653A61">
            <w:pPr>
              <w:spacing w:after="0" w:line="240" w:lineRule="auto"/>
              <w:rPr>
                <w:rFonts w:ascii="Arial" w:eastAsia="Times New Roman" w:hAnsi="Arial" w:cs="Arial"/>
                <w:color w:val="000000"/>
                <w:sz w:val="16"/>
                <w:szCs w:val="16"/>
                <w:lang w:eastAsia="es-CO"/>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2AD4065" w14:textId="77777777" w:rsidR="00653A61" w:rsidRDefault="00653A61">
            <w:pPr>
              <w:spacing w:after="0" w:line="240" w:lineRule="auto"/>
              <w:rPr>
                <w:rFonts w:ascii="Arial" w:eastAsia="Times New Roman" w:hAnsi="Arial" w:cs="Arial"/>
                <w:color w:val="000000"/>
                <w:sz w:val="16"/>
                <w:szCs w:val="16"/>
                <w:lang w:eastAsia="es-CO"/>
              </w:rPr>
            </w:pPr>
          </w:p>
        </w:tc>
        <w:tc>
          <w:tcPr>
            <w:tcW w:w="127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B8C260E"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Primera opción</w:t>
            </w:r>
          </w:p>
        </w:tc>
        <w:tc>
          <w:tcPr>
            <w:tcW w:w="212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A9CA5E0"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Cuando necesito ropa o accesorios, las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entre otras suelen ser de mis primeras opciones de compra.</w:t>
            </w:r>
          </w:p>
        </w:tc>
        <w:tc>
          <w:tcPr>
            <w:tcW w:w="76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6946476"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CC4</w:t>
            </w:r>
          </w:p>
        </w:tc>
        <w:tc>
          <w:tcPr>
            <w:tcW w:w="9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5DEAD6D"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"/>
                <w:id w:val="-529103581"/>
                <w:placeholder>
                  <w:docPart w:val="3E6BB8C8364A4796B244A85CF9A1193F"/>
                </w:placeholder>
                <w:text/>
              </w:sdtPr>
              <w:sdtEndPr/>
              <w:sdtContent>
                <w:r w:rsidR="00563720">
                  <w:rPr>
                    <w:rFonts w:ascii="Arial" w:eastAsia="Times New Roman" w:hAnsi="Arial" w:cs="Arial"/>
                    <w:color w:val="000000"/>
                    <w:sz w:val="16"/>
                    <w:szCs w:val="16"/>
                    <w:lang w:eastAsia="es-CO"/>
                  </w:rPr>
                  <w:t>Garcés-Giraldo, Bermeo-Giraldo, Valencia-Arias, Benjumea-Arias, et al. (2022)</w:t>
                </w:r>
              </w:sdtContent>
            </w:sdt>
          </w:p>
        </w:tc>
      </w:tr>
    </w:tbl>
    <w:p w14:paraId="2F3D76FB" w14:textId="77777777" w:rsidR="00653A61" w:rsidRDefault="00653A61">
      <w:pPr>
        <w:jc w:val="center"/>
        <w:rPr>
          <w:rFonts w:ascii="Arial" w:hAnsi="Arial" w:cs="Arial"/>
          <w:color w:val="2E74B5" w:themeColor="accent1" w:themeShade="BF"/>
          <w:sz w:val="24"/>
          <w:szCs w:val="24"/>
        </w:rPr>
      </w:pPr>
    </w:p>
    <w:p w14:paraId="640A4330" w14:textId="77777777" w:rsidR="00653A61" w:rsidRDefault="00563720">
      <w:pPr>
        <w:jc w:val="center"/>
        <w:rPr>
          <w:rFonts w:ascii="Arial" w:hAnsi="Arial" w:cs="Arial"/>
          <w:color w:val="2E74B5" w:themeColor="accent1" w:themeShade="BF"/>
          <w:sz w:val="24"/>
          <w:szCs w:val="24"/>
        </w:rPr>
      </w:pPr>
      <w:r>
        <w:rPr>
          <w:rFonts w:ascii="Arial" w:hAnsi="Arial" w:cs="Arial"/>
          <w:b/>
          <w:bCs/>
          <w:color w:val="2E74B5" w:themeColor="accent1" w:themeShade="BF"/>
          <w:sz w:val="24"/>
          <w:szCs w:val="24"/>
        </w:rPr>
        <w:t>Fuente:</w:t>
      </w:r>
      <w:r>
        <w:rPr>
          <w:rFonts w:ascii="Arial" w:hAnsi="Arial" w:cs="Arial"/>
          <w:color w:val="2E74B5" w:themeColor="accent1" w:themeShade="BF"/>
          <w:sz w:val="24"/>
          <w:szCs w:val="24"/>
        </w:rPr>
        <w:t xml:space="preserve"> Elaboración propia con base en Mehrabian &amp; Russell (1974), Hernández-Sampieri &amp; Mendoza (2020) y literatura especializada.</w:t>
      </w:r>
    </w:p>
    <w:p w14:paraId="78C077A1" w14:textId="77777777" w:rsidR="00653A61" w:rsidRDefault="00653A61">
      <w:pPr>
        <w:jc w:val="both"/>
        <w:rPr>
          <w:rFonts w:ascii="Arial" w:hAnsi="Arial" w:cs="Arial"/>
          <w:b/>
          <w:bCs/>
          <w:color w:val="2E74B5" w:themeColor="accent1" w:themeShade="BF"/>
          <w:sz w:val="24"/>
          <w:szCs w:val="24"/>
        </w:rPr>
      </w:pPr>
    </w:p>
    <w:p w14:paraId="0ABA4A9C"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Preferencia por marcas locales de moda</w:t>
      </w:r>
    </w:p>
    <w:p w14:paraId="27CD0489" w14:textId="77777777" w:rsidR="00653A61" w:rsidRDefault="00653A61">
      <w:pPr>
        <w:jc w:val="both"/>
        <w:rPr>
          <w:rFonts w:ascii="Arial" w:hAnsi="Arial" w:cs="Arial"/>
          <w:color w:val="2E74B5" w:themeColor="accent1" w:themeShade="BF"/>
          <w:sz w:val="24"/>
          <w:szCs w:val="24"/>
        </w:rPr>
      </w:pPr>
    </w:p>
    <w:p w14:paraId="7F33C8A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Corresponde a la inclinación declarada de los consumidores hacia marcas locales de moda, evaluada desde una lógica comparativa frente a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Esta variable se apoya en el enfoque de preferencia del consumidor y valor percibido (Hellier et al., 2003).</w:t>
      </w:r>
    </w:p>
    <w:p w14:paraId="00A549B9" w14:textId="77777777" w:rsidR="00653A61" w:rsidRDefault="00653A61">
      <w:pPr>
        <w:jc w:val="both"/>
        <w:rPr>
          <w:rFonts w:ascii="Arial" w:hAnsi="Arial" w:cs="Arial"/>
          <w:color w:val="2E74B5" w:themeColor="accent1" w:themeShade="BF"/>
          <w:sz w:val="24"/>
          <w:szCs w:val="24"/>
        </w:rPr>
      </w:pPr>
    </w:p>
    <w:p w14:paraId="6009E15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investigación busca validar la relación entre las respuestas emocionales vinculadas a la experiencia digital y el comportamiento de compra en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w:t>
      </w:r>
      <w:proofErr w:type="spellStart"/>
      <w:r>
        <w:rPr>
          <w:rFonts w:ascii="Arial" w:hAnsi="Arial" w:cs="Arial"/>
          <w:color w:val="2E74B5" w:themeColor="accent1" w:themeShade="BF"/>
          <w:sz w:val="24"/>
          <w:szCs w:val="24"/>
        </w:rPr>
        <w:t>Asi</w:t>
      </w:r>
      <w:proofErr w:type="spellEnd"/>
      <w:r>
        <w:rPr>
          <w:rFonts w:ascii="Arial" w:hAnsi="Arial" w:cs="Arial"/>
          <w:color w:val="2E74B5" w:themeColor="accent1" w:themeShade="BF"/>
          <w:sz w:val="24"/>
          <w:szCs w:val="24"/>
        </w:rPr>
        <w:t xml:space="preserve"> como, examinar la relación entre el comportamiento de compra en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la preferencia por marcas locales de moda. Finalmente, analiza la relación indirecta entre las respuestas emocionales y la preferencia por marcas locales, mediada por el comportamiento de compra.</w:t>
      </w:r>
    </w:p>
    <w:p w14:paraId="7616F470" w14:textId="77777777" w:rsidR="00653A61" w:rsidRDefault="00653A61">
      <w:pPr>
        <w:jc w:val="both"/>
        <w:rPr>
          <w:rFonts w:ascii="Arial" w:hAnsi="Arial" w:cs="Arial"/>
          <w:color w:val="2E74B5" w:themeColor="accent1" w:themeShade="BF"/>
          <w:sz w:val="24"/>
          <w:szCs w:val="24"/>
        </w:rPr>
      </w:pPr>
    </w:p>
    <w:p w14:paraId="69AC619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preferencia por marcas locales de moda constituye la variable dependiente del estudio y hace referencia a la inclinación declarada de los jóvenes bogotanos hacia marcas de moda de origen local, en comparación con plataformas globales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Desde la literatura del marketing, la preferencia de marca se entiende como </w:t>
      </w:r>
      <w:r>
        <w:rPr>
          <w:rFonts w:ascii="Arial" w:hAnsi="Arial" w:cs="Arial"/>
          <w:color w:val="2E74B5" w:themeColor="accent1" w:themeShade="BF"/>
          <w:sz w:val="24"/>
          <w:szCs w:val="24"/>
        </w:rPr>
        <w:lastRenderedPageBreak/>
        <w:t>el resultado de una evaluación global que integra componentes cognitivos, emocionales y simbólicos, relacionándose directamente en la elección de compra del consumidor (Zeithaml 1988).</w:t>
      </w:r>
    </w:p>
    <w:p w14:paraId="15282C0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el caso particular de las marcas locales, este constructo incorpora elementos adicionales relacionados con el origen de la marca, la cercanía cultural, la identidad y la percepción de autenticidad, los cuales pueden generar vínculos simbólicos y emocionales con los consumidores (Hellier et al. 2003). No obstante, en contextos digitales altamente competitivos, esta preferencia se encuentra mediada por la experiencia de compra y por los estímulos emocionales generados durante la interacción con plataformas globales.</w:t>
      </w:r>
    </w:p>
    <w:p w14:paraId="412DEA66" w14:textId="77777777" w:rsidR="00653A61" w:rsidRDefault="00653A61">
      <w:pPr>
        <w:jc w:val="both"/>
        <w:rPr>
          <w:rFonts w:ascii="Arial" w:hAnsi="Arial" w:cs="Arial"/>
          <w:color w:val="2E74B5" w:themeColor="accent1" w:themeShade="BF"/>
          <w:sz w:val="24"/>
          <w:szCs w:val="24"/>
        </w:rPr>
      </w:pPr>
    </w:p>
    <w:p w14:paraId="19862D7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coherencia con estos planteamientos, la preferencia por marcas locales se operacionaliza desde una lógica comparativa, en la cual los consumidores evalúan su inclinación hacia marcas locales frente a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digitales. Este enfoque resulta de gran importancia para el objetivo de este estudio, dado que permite analizar cómo la experiencia emocional digital y el comportamiento de compra se relacionan con el posible desplazamiento de la preferencia hacia plataformas globales en detrimento de las marcas locales.</w:t>
      </w:r>
    </w:p>
    <w:p w14:paraId="4B89E81F" w14:textId="77777777" w:rsidR="00653A61" w:rsidRDefault="00653A61">
      <w:pPr>
        <w:jc w:val="both"/>
        <w:rPr>
          <w:rFonts w:ascii="Arial" w:hAnsi="Arial" w:cs="Arial"/>
          <w:color w:val="2E74B5" w:themeColor="accent1" w:themeShade="BF"/>
          <w:sz w:val="24"/>
          <w:szCs w:val="24"/>
        </w:rPr>
      </w:pPr>
    </w:p>
    <w:p w14:paraId="049ABD3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el presente estudio, la preferencia por marcas locales de moda no se aborda como una actitud normativa o identitaria, sino como una evaluación comparativa influenciada por la experiencia emocional digital y el comportamiento de compra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Este planteamiento reconoce que, aunque los jóvenes pueden expresar valoraciones positivas hacia lo local, estas no siempre se traducen en decisiones de compra efectivas cuando las plataformas globales ofrecen mayores niveles de conveniencia, variedad y estímulos emocionales.</w:t>
      </w:r>
    </w:p>
    <w:p w14:paraId="3F599330" w14:textId="77777777" w:rsidR="00653A61" w:rsidRDefault="00653A61">
      <w:pPr>
        <w:jc w:val="both"/>
        <w:rPr>
          <w:rFonts w:ascii="Arial" w:hAnsi="Arial" w:cs="Arial"/>
          <w:color w:val="2E74B5" w:themeColor="accent1" w:themeShade="BF"/>
          <w:sz w:val="24"/>
          <w:szCs w:val="24"/>
        </w:rPr>
      </w:pPr>
    </w:p>
    <w:p w14:paraId="6A7078B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consecuencia, la preferencia por marcas locales se operacionaliza desde una lógica comparativa (Zeithaml, 1988; Hellier et al., 2003), permitiendo analizar el desplazamiento de la elección hacia plataformas globales, así como identificar disposiciones latentes favorables hacia lo local que pueden activarse bajo condiciones competitivas equivalentes. Este planteamiento resulta coherente con el objetivo de analizar el impacto indirecto de las respuestas emocionales y del comportamiento de compra sobre la preferencia por marcas locales en el segmento juvenil.</w:t>
      </w:r>
    </w:p>
    <w:p w14:paraId="77D41457" w14:textId="77777777" w:rsidR="00653A61" w:rsidRDefault="00653A61">
      <w:pPr>
        <w:jc w:val="both"/>
        <w:rPr>
          <w:rFonts w:ascii="Arial" w:hAnsi="Arial" w:cs="Arial"/>
          <w:color w:val="2E74B5" w:themeColor="accent1" w:themeShade="BF"/>
          <w:sz w:val="24"/>
          <w:szCs w:val="24"/>
        </w:rPr>
      </w:pPr>
    </w:p>
    <w:p w14:paraId="1E1D443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La escala de medición de esta variable se estructura a partir de tres indicadores principales:</w:t>
      </w:r>
    </w:p>
    <w:p w14:paraId="63CEE07F" w14:textId="77777777" w:rsidR="00653A61" w:rsidRDefault="00653A61">
      <w:pPr>
        <w:jc w:val="both"/>
        <w:rPr>
          <w:rFonts w:ascii="Arial" w:hAnsi="Arial" w:cs="Arial"/>
          <w:color w:val="2E74B5" w:themeColor="accent1" w:themeShade="BF"/>
          <w:sz w:val="24"/>
          <w:szCs w:val="24"/>
        </w:rPr>
      </w:pPr>
    </w:p>
    <w:p w14:paraId="12876545" w14:textId="77777777" w:rsidR="00653A61" w:rsidRDefault="00563720">
      <w:pPr>
        <w:pStyle w:val="Prrafodelista"/>
        <w:numPr>
          <w:ilvl w:val="0"/>
          <w:numId w:val="5"/>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Preferencia comparativa: evalúa la inclinación del consumidor a priorizar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frente a marcas locales al momento de realizar compras de moda.</w:t>
      </w:r>
    </w:p>
    <w:p w14:paraId="6F44C894" w14:textId="77777777" w:rsidR="00653A61" w:rsidRDefault="00653A61">
      <w:pPr>
        <w:pStyle w:val="Prrafodelista"/>
        <w:ind w:left="1070"/>
        <w:jc w:val="both"/>
        <w:rPr>
          <w:rFonts w:ascii="Arial" w:hAnsi="Arial" w:cs="Arial"/>
          <w:color w:val="2E74B5" w:themeColor="accent1" w:themeShade="BF"/>
          <w:sz w:val="24"/>
          <w:szCs w:val="24"/>
        </w:rPr>
      </w:pPr>
    </w:p>
    <w:p w14:paraId="3CCFBEAA" w14:textId="77777777" w:rsidR="00653A61" w:rsidRDefault="00653A61">
      <w:pPr>
        <w:pStyle w:val="Prrafodelista"/>
        <w:ind w:left="1070"/>
        <w:jc w:val="both"/>
        <w:rPr>
          <w:rFonts w:ascii="Arial" w:hAnsi="Arial" w:cs="Arial"/>
          <w:color w:val="2E74B5" w:themeColor="accent1" w:themeShade="BF"/>
          <w:sz w:val="24"/>
          <w:szCs w:val="24"/>
        </w:rPr>
      </w:pPr>
    </w:p>
    <w:p w14:paraId="08D264FD" w14:textId="77777777" w:rsidR="00653A61" w:rsidRDefault="00563720">
      <w:pPr>
        <w:pStyle w:val="Prrafodelista"/>
        <w:numPr>
          <w:ilvl w:val="0"/>
          <w:numId w:val="5"/>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Disposición reducida hacia lo local: recoge el grado en que los jóvenes manifiestan una menor intención de elegir marcas locales en comparación con plataformas, considerando factores como precio, variedad y conveniencia.</w:t>
      </w:r>
    </w:p>
    <w:p w14:paraId="0A79009A" w14:textId="77777777" w:rsidR="00653A61" w:rsidRDefault="00653A61">
      <w:pPr>
        <w:pStyle w:val="Prrafodelista"/>
        <w:ind w:left="1070"/>
        <w:jc w:val="both"/>
        <w:rPr>
          <w:rFonts w:ascii="Arial" w:hAnsi="Arial" w:cs="Arial"/>
          <w:color w:val="2E74B5" w:themeColor="accent1" w:themeShade="BF"/>
          <w:sz w:val="24"/>
          <w:szCs w:val="24"/>
        </w:rPr>
      </w:pPr>
    </w:p>
    <w:p w14:paraId="5F18BA62" w14:textId="77777777" w:rsidR="00653A61" w:rsidRDefault="00653A61">
      <w:pPr>
        <w:pStyle w:val="Prrafodelista"/>
        <w:ind w:left="1070"/>
        <w:jc w:val="both"/>
        <w:rPr>
          <w:rFonts w:ascii="Arial" w:hAnsi="Arial" w:cs="Arial"/>
          <w:color w:val="2E74B5" w:themeColor="accent1" w:themeShade="BF"/>
          <w:sz w:val="24"/>
          <w:szCs w:val="24"/>
        </w:rPr>
      </w:pPr>
    </w:p>
    <w:p w14:paraId="52B32268" w14:textId="77777777" w:rsidR="00653A61" w:rsidRDefault="00563720">
      <w:pPr>
        <w:pStyle w:val="Prrafodelista"/>
        <w:numPr>
          <w:ilvl w:val="0"/>
          <w:numId w:val="5"/>
        </w:numPr>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Preferencia por el canal digital: mide la inclinación del consumidor a priorizar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digitales frente a otros canales de compra, incluyendo plataformas de marcas locales.</w:t>
      </w:r>
    </w:p>
    <w:p w14:paraId="3D3BE3B2" w14:textId="77777777" w:rsidR="00653A61" w:rsidRDefault="00653A61">
      <w:pPr>
        <w:jc w:val="both"/>
        <w:rPr>
          <w:rFonts w:ascii="Arial" w:hAnsi="Arial" w:cs="Arial"/>
          <w:color w:val="2E74B5" w:themeColor="accent1" w:themeShade="BF"/>
          <w:sz w:val="24"/>
          <w:szCs w:val="24"/>
        </w:rPr>
      </w:pPr>
    </w:p>
    <w:p w14:paraId="3D9AFD6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inclusión de un ítem invertido obedece a criterios metodológicos orientados a reforzar la consistencia interna de la escala y a reducir posibles sesgos de aquiescencia en las respuestas (</w:t>
      </w:r>
      <w:proofErr w:type="spellStart"/>
      <w:r>
        <w:rPr>
          <w:rFonts w:ascii="Arial" w:hAnsi="Arial" w:cs="Arial"/>
          <w:color w:val="2E74B5" w:themeColor="accent1" w:themeShade="BF"/>
          <w:sz w:val="24"/>
          <w:szCs w:val="24"/>
        </w:rPr>
        <w:t>Podsakoff</w:t>
      </w:r>
      <w:proofErr w:type="spellEnd"/>
      <w:r>
        <w:rPr>
          <w:rFonts w:ascii="Arial" w:hAnsi="Arial" w:cs="Arial"/>
          <w:color w:val="2E74B5" w:themeColor="accent1" w:themeShade="BF"/>
          <w:sz w:val="24"/>
          <w:szCs w:val="24"/>
        </w:rPr>
        <w:t xml:space="preserve"> et al., 2003). En conjunto, estos indicadores permiten determinar la preferencia de los jóvenes por marcas locales no solo como una elección directa, sino como una evaluación condicionada por la experiencia emocional digital y el comportamiento de compra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7DF92FA9" w14:textId="77777777" w:rsidR="00653A61" w:rsidRDefault="00653A61">
      <w:pPr>
        <w:jc w:val="both"/>
        <w:rPr>
          <w:rFonts w:ascii="Arial" w:hAnsi="Arial" w:cs="Arial"/>
          <w:color w:val="2E74B5" w:themeColor="accent1" w:themeShade="BF"/>
          <w:sz w:val="24"/>
          <w:szCs w:val="24"/>
        </w:rPr>
      </w:pPr>
    </w:p>
    <w:p w14:paraId="5BA66A4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Los ítems que conforman esta escala fueron adaptados a partir de estudios sobre preferencia de marca, valor percibido y comportamiento del consumidor, asegurando su coherencia con los objetivos de la investigación y su relevancia para el contexto del mercado de moda juvenil en Bogotá (Zeithaml, 1988; Hellier et al., 2003).</w:t>
      </w:r>
    </w:p>
    <w:p w14:paraId="1A47A6EB" w14:textId="77777777" w:rsidR="00653A61" w:rsidRDefault="00653A61">
      <w:pPr>
        <w:jc w:val="both"/>
        <w:rPr>
          <w:rFonts w:ascii="Arial" w:hAnsi="Arial" w:cs="Arial"/>
          <w:color w:val="2E74B5" w:themeColor="accent1" w:themeShade="BF"/>
          <w:sz w:val="24"/>
          <w:szCs w:val="24"/>
        </w:rPr>
      </w:pPr>
    </w:p>
    <w:p w14:paraId="49DB54A5"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Tabla 3: Operacionalización de la variable, preferencia por marcas locales de moda</w:t>
      </w:r>
    </w:p>
    <w:p w14:paraId="7E4B1E85" w14:textId="77777777" w:rsidR="00653A61" w:rsidRDefault="00653A61">
      <w:pPr>
        <w:jc w:val="center"/>
        <w:rPr>
          <w:rFonts w:ascii="Arial" w:hAnsi="Arial" w:cs="Arial"/>
          <w:color w:val="2E74B5" w:themeColor="accent1" w:themeShade="BF"/>
          <w:sz w:val="24"/>
          <w:szCs w:val="24"/>
        </w:rPr>
      </w:pPr>
    </w:p>
    <w:tbl>
      <w:tblPr>
        <w:tblW w:w="7508" w:type="dxa"/>
        <w:jc w:val="center"/>
        <w:tblLayout w:type="fixed"/>
        <w:tblCellMar>
          <w:left w:w="70" w:type="dxa"/>
          <w:right w:w="70" w:type="dxa"/>
        </w:tblCellMar>
        <w:tblLook w:val="04A0" w:firstRow="1" w:lastRow="0" w:firstColumn="1" w:lastColumn="0" w:noHBand="0" w:noVBand="1"/>
      </w:tblPr>
      <w:tblGrid>
        <w:gridCol w:w="1129"/>
        <w:gridCol w:w="1275"/>
        <w:gridCol w:w="1277"/>
        <w:gridCol w:w="2124"/>
        <w:gridCol w:w="769"/>
        <w:gridCol w:w="934"/>
      </w:tblGrid>
      <w:tr w:rsidR="00653A61" w14:paraId="31F2A3E4" w14:textId="77777777">
        <w:trPr>
          <w:trHeight w:val="530"/>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22DED9B1"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Preferencia por marcas </w:t>
            </w:r>
            <w:r>
              <w:rPr>
                <w:rFonts w:ascii="Arial" w:eastAsia="Times New Roman" w:hAnsi="Arial" w:cs="Arial"/>
                <w:color w:val="000000"/>
                <w:sz w:val="16"/>
                <w:szCs w:val="16"/>
                <w:lang w:eastAsia="es-CO"/>
              </w:rPr>
              <w:lastRenderedPageBreak/>
              <w:t>locales de moda</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A521B10"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lastRenderedPageBreak/>
              <w:t>Dependiente</w:t>
            </w:r>
          </w:p>
        </w:tc>
        <w:tc>
          <w:tcPr>
            <w:tcW w:w="1277" w:type="dxa"/>
            <w:tcBorders>
              <w:top w:val="single" w:sz="4" w:space="0" w:color="000000"/>
              <w:bottom w:val="single" w:sz="4" w:space="0" w:color="000000"/>
              <w:right w:val="single" w:sz="4" w:space="0" w:color="000000"/>
            </w:tcBorders>
            <w:shd w:val="clear" w:color="auto" w:fill="DEEAF6" w:themeFill="accent1" w:themeFillTint="33"/>
            <w:vAlign w:val="center"/>
          </w:tcPr>
          <w:p w14:paraId="1AE524C2"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Preferencia comparativa</w:t>
            </w:r>
          </w:p>
        </w:tc>
        <w:tc>
          <w:tcPr>
            <w:tcW w:w="2124" w:type="dxa"/>
            <w:tcBorders>
              <w:top w:val="single" w:sz="4" w:space="0" w:color="000000"/>
              <w:bottom w:val="single" w:sz="4" w:space="0" w:color="000000"/>
              <w:right w:val="single" w:sz="4" w:space="0" w:color="000000"/>
            </w:tcBorders>
            <w:shd w:val="clear" w:color="auto" w:fill="DEEAF6" w:themeFill="accent1" w:themeFillTint="33"/>
            <w:vAlign w:val="center"/>
          </w:tcPr>
          <w:p w14:paraId="63BFE830"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Prefiero comprar productos de moda en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w:t>
            </w:r>
            <w:r>
              <w:rPr>
                <w:rFonts w:ascii="Arial" w:eastAsia="Times New Roman" w:hAnsi="Arial" w:cs="Arial"/>
                <w:color w:val="000000"/>
                <w:sz w:val="16"/>
                <w:szCs w:val="16"/>
                <w:lang w:eastAsia="es-CO"/>
              </w:rPr>
              <w:lastRenderedPageBreak/>
              <w:t xml:space="preserve">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entre otras antes que en marcas locales.</w:t>
            </w:r>
          </w:p>
        </w:tc>
        <w:tc>
          <w:tcPr>
            <w:tcW w:w="769" w:type="dxa"/>
            <w:tcBorders>
              <w:top w:val="single" w:sz="4" w:space="0" w:color="000000"/>
              <w:bottom w:val="single" w:sz="4" w:space="0" w:color="000000"/>
              <w:right w:val="single" w:sz="4" w:space="0" w:color="000000"/>
            </w:tcBorders>
            <w:shd w:val="clear" w:color="auto" w:fill="DEEAF6" w:themeFill="accent1" w:themeFillTint="33"/>
            <w:vAlign w:val="center"/>
          </w:tcPr>
          <w:p w14:paraId="543B5EBD"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lastRenderedPageBreak/>
              <w:t>PL1</w:t>
            </w:r>
          </w:p>
        </w:tc>
        <w:tc>
          <w:tcPr>
            <w:tcW w:w="934" w:type="dxa"/>
            <w:tcBorders>
              <w:top w:val="single" w:sz="4" w:space="0" w:color="000000"/>
              <w:bottom w:val="single" w:sz="4" w:space="0" w:color="000000"/>
              <w:right w:val="single" w:sz="4" w:space="0" w:color="000000"/>
            </w:tcBorders>
            <w:shd w:val="clear" w:color="auto" w:fill="DEEAF6" w:themeFill="accent1" w:themeFillTint="33"/>
            <w:vAlign w:val="center"/>
          </w:tcPr>
          <w:p w14:paraId="04AE68AF"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"/>
                <w:id w:val="659350380"/>
                <w:placeholder>
                  <w:docPart w:val="9CCCDAB502EA43669E36445E3CD95A5A"/>
                </w:placeholder>
                <w:text/>
              </w:sdtPr>
              <w:sdtEndPr/>
              <w:sdtContent>
                <w:r w:rsidR="00563720">
                  <w:rPr>
                    <w:rFonts w:ascii="Arial" w:eastAsia="Times New Roman" w:hAnsi="Arial" w:cs="Arial"/>
                    <w:color w:val="000000"/>
                    <w:sz w:val="16"/>
                    <w:szCs w:val="16"/>
                    <w:lang w:eastAsia="es-CO"/>
                  </w:rPr>
                  <w:t>Zeithaml (1988)</w:t>
                </w:r>
              </w:sdtContent>
            </w:sdt>
          </w:p>
        </w:tc>
      </w:tr>
      <w:tr w:rsidR="00653A61" w14:paraId="527EB6E6" w14:textId="77777777">
        <w:trPr>
          <w:trHeight w:val="570"/>
          <w:jc w:val="center"/>
        </w:trPr>
        <w:tc>
          <w:tcPr>
            <w:tcW w:w="1129" w:type="dxa"/>
            <w:vMerge/>
            <w:tcBorders>
              <w:left w:val="single" w:sz="4" w:space="0" w:color="000000"/>
              <w:right w:val="single" w:sz="4" w:space="0" w:color="000000"/>
            </w:tcBorders>
            <w:shd w:val="clear" w:color="auto" w:fill="DEEAF6" w:themeFill="accent1" w:themeFillTint="33"/>
            <w:vAlign w:val="center"/>
          </w:tcPr>
          <w:p w14:paraId="44864303" w14:textId="77777777" w:rsidR="00653A61" w:rsidRDefault="00653A61">
            <w:pPr>
              <w:spacing w:after="0" w:line="240" w:lineRule="auto"/>
              <w:rPr>
                <w:rFonts w:ascii="Arial" w:eastAsia="Times New Roman" w:hAnsi="Arial" w:cs="Arial"/>
                <w:color w:val="000000"/>
                <w:sz w:val="16"/>
                <w:szCs w:val="16"/>
                <w:lang w:eastAsia="es-CO"/>
              </w:rPr>
            </w:pPr>
          </w:p>
        </w:tc>
        <w:tc>
          <w:tcPr>
            <w:tcW w:w="1275" w:type="dxa"/>
            <w:vMerge/>
            <w:tcBorders>
              <w:left w:val="single" w:sz="4" w:space="0" w:color="000000"/>
              <w:right w:val="single" w:sz="4" w:space="0" w:color="000000"/>
            </w:tcBorders>
            <w:shd w:val="clear" w:color="auto" w:fill="DEEAF6" w:themeFill="accent1" w:themeFillTint="33"/>
            <w:vAlign w:val="center"/>
          </w:tcPr>
          <w:p w14:paraId="6DC5941E" w14:textId="77777777" w:rsidR="00653A61" w:rsidRDefault="00653A61">
            <w:pPr>
              <w:spacing w:after="0" w:line="240" w:lineRule="auto"/>
              <w:rPr>
                <w:rFonts w:ascii="Arial" w:eastAsia="Times New Roman" w:hAnsi="Arial" w:cs="Arial"/>
                <w:color w:val="000000"/>
                <w:sz w:val="16"/>
                <w:szCs w:val="16"/>
                <w:lang w:eastAsia="es-CO"/>
              </w:rPr>
            </w:pPr>
          </w:p>
        </w:tc>
        <w:tc>
          <w:tcPr>
            <w:tcW w:w="1277" w:type="dxa"/>
            <w:tcBorders>
              <w:top w:val="single" w:sz="4" w:space="0" w:color="000000"/>
              <w:bottom w:val="single" w:sz="4" w:space="0" w:color="000000"/>
              <w:right w:val="single" w:sz="4" w:space="0" w:color="000000"/>
            </w:tcBorders>
            <w:shd w:val="clear" w:color="auto" w:fill="DEEAF6" w:themeFill="accent1" w:themeFillTint="33"/>
            <w:vAlign w:val="center"/>
          </w:tcPr>
          <w:p w14:paraId="4FD02E6B"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Disposición reducida hacia lo local</w:t>
            </w:r>
          </w:p>
        </w:tc>
        <w:tc>
          <w:tcPr>
            <w:tcW w:w="2124" w:type="dxa"/>
            <w:tcBorders>
              <w:top w:val="single" w:sz="4" w:space="0" w:color="000000"/>
              <w:bottom w:val="single" w:sz="4" w:space="0" w:color="000000"/>
              <w:right w:val="single" w:sz="4" w:space="0" w:color="000000"/>
            </w:tcBorders>
            <w:shd w:val="clear" w:color="auto" w:fill="DEEAF6" w:themeFill="accent1" w:themeFillTint="33"/>
            <w:vAlign w:val="center"/>
          </w:tcPr>
          <w:p w14:paraId="0091B1E4"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Es poco probable que elija marcas locales de moda en comparación con plataformas digitales de </w:t>
            </w:r>
            <w:proofErr w:type="spellStart"/>
            <w:r>
              <w:rPr>
                <w:rFonts w:ascii="Arial" w:eastAsia="Times New Roman" w:hAnsi="Arial" w:cs="Arial"/>
                <w:i/>
                <w:color w:val="000000"/>
                <w:sz w:val="16"/>
                <w:szCs w:val="16"/>
                <w:lang w:eastAsia="es-CO"/>
              </w:rPr>
              <w:t>fast</w:t>
            </w:r>
            <w:proofErr w:type="spellEnd"/>
            <w:r>
              <w:rPr>
                <w:rFonts w:ascii="Arial" w:eastAsia="Times New Roman" w:hAnsi="Arial" w:cs="Arial"/>
                <w:i/>
                <w:color w:val="000000"/>
                <w:sz w:val="16"/>
                <w:szCs w:val="16"/>
                <w:lang w:eastAsia="es-CO"/>
              </w:rPr>
              <w:t xml:space="preserve"> </w:t>
            </w:r>
            <w:proofErr w:type="spellStart"/>
            <w:r>
              <w:rPr>
                <w:rFonts w:ascii="Arial" w:eastAsia="Times New Roman" w:hAnsi="Arial" w:cs="Arial"/>
                <w:i/>
                <w:color w:val="000000"/>
                <w:sz w:val="16"/>
                <w:szCs w:val="16"/>
                <w:lang w:eastAsia="es-CO"/>
              </w:rPr>
              <w:t>fashion</w:t>
            </w:r>
            <w:proofErr w:type="spellEnd"/>
            <w:r>
              <w:rPr>
                <w:rFonts w:ascii="Arial" w:eastAsia="Times New Roman" w:hAnsi="Arial" w:cs="Arial"/>
                <w:color w:val="000000"/>
                <w:sz w:val="16"/>
                <w:szCs w:val="16"/>
                <w:lang w:eastAsia="es-CO"/>
              </w:rPr>
              <w:t xml:space="preserve"> ejemplo </w:t>
            </w:r>
            <w:r>
              <w:rPr>
                <w:rFonts w:ascii="Arial" w:eastAsia="Times New Roman" w:hAnsi="Arial" w:cs="Arial"/>
                <w:i/>
                <w:color w:val="000000"/>
                <w:sz w:val="16"/>
                <w:szCs w:val="16"/>
                <w:lang w:eastAsia="es-CO"/>
              </w:rPr>
              <w:t>Temu</w:t>
            </w:r>
            <w:r>
              <w:rPr>
                <w:rFonts w:ascii="Arial" w:eastAsia="Times New Roman" w:hAnsi="Arial" w:cs="Arial"/>
                <w:color w:val="000000"/>
                <w:sz w:val="16"/>
                <w:szCs w:val="16"/>
                <w:lang w:eastAsia="es-CO"/>
              </w:rPr>
              <w:t xml:space="preserve"> o </w:t>
            </w:r>
            <w:r>
              <w:rPr>
                <w:rFonts w:ascii="Arial" w:eastAsia="Times New Roman" w:hAnsi="Arial" w:cs="Arial"/>
                <w:i/>
                <w:color w:val="000000"/>
                <w:sz w:val="16"/>
                <w:szCs w:val="16"/>
                <w:lang w:eastAsia="es-CO"/>
              </w:rPr>
              <w:t>SHEIN</w:t>
            </w:r>
            <w:r>
              <w:rPr>
                <w:rFonts w:ascii="Arial" w:eastAsia="Times New Roman" w:hAnsi="Arial" w:cs="Arial"/>
                <w:color w:val="000000"/>
                <w:sz w:val="16"/>
                <w:szCs w:val="16"/>
                <w:lang w:eastAsia="es-CO"/>
              </w:rPr>
              <w:t xml:space="preserve">, entre otras </w:t>
            </w:r>
          </w:p>
        </w:tc>
        <w:tc>
          <w:tcPr>
            <w:tcW w:w="769" w:type="dxa"/>
            <w:tcBorders>
              <w:top w:val="single" w:sz="4" w:space="0" w:color="000000"/>
              <w:bottom w:val="single" w:sz="4" w:space="0" w:color="000000"/>
              <w:right w:val="single" w:sz="4" w:space="0" w:color="000000"/>
            </w:tcBorders>
            <w:shd w:val="clear" w:color="auto" w:fill="DEEAF6" w:themeFill="accent1" w:themeFillTint="33"/>
            <w:vAlign w:val="center"/>
          </w:tcPr>
          <w:p w14:paraId="70622455"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PL2</w:t>
            </w:r>
          </w:p>
        </w:tc>
        <w:tc>
          <w:tcPr>
            <w:tcW w:w="934" w:type="dxa"/>
            <w:tcBorders>
              <w:top w:val="single" w:sz="4" w:space="0" w:color="000000"/>
              <w:bottom w:val="single" w:sz="4" w:space="0" w:color="000000"/>
              <w:right w:val="single" w:sz="4" w:space="0" w:color="000000"/>
            </w:tcBorders>
            <w:shd w:val="clear" w:color="auto" w:fill="DEEAF6" w:themeFill="accent1" w:themeFillTint="33"/>
            <w:vAlign w:val="center"/>
          </w:tcPr>
          <w:p w14:paraId="0018CD0A"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"/>
                <w:id w:val="449675960"/>
                <w:placeholder>
                  <w:docPart w:val="864964ED10014952B918F5F34330D94C"/>
                </w:placeholder>
                <w:text/>
              </w:sdtPr>
              <w:sdtEndPr/>
              <w:sdtContent>
                <w:r w:rsidR="00563720">
                  <w:rPr>
                    <w:rFonts w:ascii="Arial" w:eastAsia="Times New Roman" w:hAnsi="Arial" w:cs="Arial"/>
                    <w:color w:val="000000"/>
                    <w:sz w:val="16"/>
                    <w:szCs w:val="16"/>
                    <w:lang w:eastAsia="es-CO"/>
                  </w:rPr>
                  <w:t>Hellier et al. (2003)</w:t>
                </w:r>
              </w:sdtContent>
            </w:sdt>
          </w:p>
        </w:tc>
      </w:tr>
      <w:tr w:rsidR="00653A61" w14:paraId="5F3C2F7E" w14:textId="77777777">
        <w:trPr>
          <w:trHeight w:val="570"/>
          <w:jc w:val="center"/>
        </w:trPr>
        <w:tc>
          <w:tcPr>
            <w:tcW w:w="1129" w:type="dxa"/>
            <w:vMerge/>
            <w:tcBorders>
              <w:left w:val="single" w:sz="4" w:space="0" w:color="000000"/>
              <w:bottom w:val="single" w:sz="4" w:space="0" w:color="000000"/>
              <w:right w:val="single" w:sz="4" w:space="0" w:color="000000"/>
            </w:tcBorders>
            <w:shd w:val="clear" w:color="auto" w:fill="DEEAF6" w:themeFill="accent1" w:themeFillTint="33"/>
            <w:vAlign w:val="center"/>
          </w:tcPr>
          <w:p w14:paraId="623B6D38" w14:textId="77777777" w:rsidR="00653A61" w:rsidRDefault="00653A61">
            <w:pPr>
              <w:spacing w:after="0" w:line="240" w:lineRule="auto"/>
              <w:rPr>
                <w:rFonts w:ascii="Arial" w:eastAsia="Times New Roman" w:hAnsi="Arial" w:cs="Arial"/>
                <w:color w:val="000000"/>
                <w:sz w:val="16"/>
                <w:szCs w:val="16"/>
                <w:lang w:eastAsia="es-CO"/>
              </w:rPr>
            </w:pPr>
          </w:p>
        </w:tc>
        <w:tc>
          <w:tcPr>
            <w:tcW w:w="1275" w:type="dxa"/>
            <w:vMerge/>
            <w:tcBorders>
              <w:left w:val="single" w:sz="4" w:space="0" w:color="000000"/>
              <w:bottom w:val="single" w:sz="4" w:space="0" w:color="000000"/>
              <w:right w:val="single" w:sz="4" w:space="0" w:color="000000"/>
            </w:tcBorders>
            <w:shd w:val="clear" w:color="auto" w:fill="DEEAF6" w:themeFill="accent1" w:themeFillTint="33"/>
            <w:vAlign w:val="center"/>
          </w:tcPr>
          <w:p w14:paraId="1CD9F8C1" w14:textId="77777777" w:rsidR="00653A61" w:rsidRDefault="00653A61">
            <w:pPr>
              <w:spacing w:after="0" w:line="240" w:lineRule="auto"/>
              <w:rPr>
                <w:rFonts w:ascii="Arial" w:eastAsia="Times New Roman" w:hAnsi="Arial" w:cs="Arial"/>
                <w:color w:val="000000"/>
                <w:sz w:val="16"/>
                <w:szCs w:val="16"/>
                <w:lang w:eastAsia="es-CO"/>
              </w:rPr>
            </w:pPr>
          </w:p>
        </w:tc>
        <w:tc>
          <w:tcPr>
            <w:tcW w:w="1277" w:type="dxa"/>
            <w:tcBorders>
              <w:top w:val="single" w:sz="4" w:space="0" w:color="000000"/>
              <w:bottom w:val="single" w:sz="4" w:space="0" w:color="000000"/>
              <w:right w:val="single" w:sz="4" w:space="0" w:color="000000"/>
            </w:tcBorders>
            <w:shd w:val="clear" w:color="auto" w:fill="DEEAF6" w:themeFill="accent1" w:themeFillTint="33"/>
            <w:vAlign w:val="center"/>
          </w:tcPr>
          <w:p w14:paraId="7128BDCE"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Interés por lo local (ítem invertido)</w:t>
            </w:r>
          </w:p>
        </w:tc>
        <w:tc>
          <w:tcPr>
            <w:tcW w:w="2124" w:type="dxa"/>
            <w:tcBorders>
              <w:top w:val="single" w:sz="4" w:space="0" w:color="000000"/>
              <w:bottom w:val="single" w:sz="4" w:space="0" w:color="000000"/>
              <w:right w:val="single" w:sz="4" w:space="0" w:color="000000"/>
            </w:tcBorders>
            <w:shd w:val="clear" w:color="auto" w:fill="DEEAF6" w:themeFill="accent1" w:themeFillTint="33"/>
            <w:vAlign w:val="center"/>
          </w:tcPr>
          <w:p w14:paraId="430682CB" w14:textId="77777777" w:rsidR="00653A61" w:rsidRDefault="00563720">
            <w:pPr>
              <w:spacing w:after="0" w:line="240" w:lineRule="auto"/>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Si una marca local ofreciera precios y variedad similares, preferiría comprar a una marca local.</w:t>
            </w:r>
          </w:p>
        </w:tc>
        <w:tc>
          <w:tcPr>
            <w:tcW w:w="769" w:type="dxa"/>
            <w:tcBorders>
              <w:top w:val="single" w:sz="4" w:space="0" w:color="000000"/>
              <w:bottom w:val="single" w:sz="4" w:space="0" w:color="000000"/>
              <w:right w:val="single" w:sz="4" w:space="0" w:color="000000"/>
            </w:tcBorders>
            <w:shd w:val="clear" w:color="auto" w:fill="DEEAF6" w:themeFill="accent1" w:themeFillTint="33"/>
            <w:vAlign w:val="center"/>
          </w:tcPr>
          <w:p w14:paraId="6BD4826E" w14:textId="77777777" w:rsidR="00653A61" w:rsidRDefault="00563720">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PL3</w:t>
            </w:r>
          </w:p>
        </w:tc>
        <w:tc>
          <w:tcPr>
            <w:tcW w:w="934" w:type="dxa"/>
            <w:tcBorders>
              <w:top w:val="single" w:sz="4" w:space="0" w:color="000000"/>
              <w:bottom w:val="single" w:sz="4" w:space="0" w:color="000000"/>
              <w:right w:val="single" w:sz="4" w:space="0" w:color="000000"/>
            </w:tcBorders>
            <w:shd w:val="clear" w:color="auto" w:fill="DEEAF6" w:themeFill="accent1" w:themeFillTint="33"/>
            <w:vAlign w:val="center"/>
          </w:tcPr>
          <w:p w14:paraId="529CAA40" w14:textId="77777777" w:rsidR="00653A61" w:rsidRDefault="0067062A">
            <w:pPr>
              <w:spacing w:after="0" w:line="240" w:lineRule="auto"/>
              <w:jc w:val="center"/>
              <w:rPr>
                <w:rFonts w:ascii="Arial" w:eastAsia="Times New Roman" w:hAnsi="Arial" w:cs="Arial"/>
                <w:color w:val="000000"/>
                <w:sz w:val="16"/>
                <w:szCs w:val="16"/>
                <w:lang w:eastAsia="es-CO"/>
              </w:rPr>
            </w:pPr>
            <w:sdt>
              <w:sdtPr>
                <w:tag w:val="MENDELEY_CITATION_v3_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"/>
                <w:id w:val="563612288"/>
                <w:placeholder>
                  <w:docPart w:val="EFF71D27CA324798A1FE181EDDCFFC06"/>
                </w:placeholder>
                <w:text/>
              </w:sdtPr>
              <w:sdtEndPr/>
              <w:sdtContent>
                <w:r w:rsidR="00563720">
                  <w:rPr>
                    <w:rFonts w:ascii="Arial" w:eastAsia="Times New Roman" w:hAnsi="Arial" w:cs="Arial"/>
                    <w:color w:val="000000"/>
                    <w:sz w:val="16"/>
                    <w:szCs w:val="16"/>
                    <w:lang w:eastAsia="es-CO"/>
                  </w:rPr>
                  <w:t>Zeithaml (1988)</w:t>
                </w:r>
              </w:sdtContent>
            </w:sdt>
          </w:p>
        </w:tc>
      </w:tr>
    </w:tbl>
    <w:p w14:paraId="22F6D13D" w14:textId="77777777" w:rsidR="00653A61" w:rsidRDefault="00653A61">
      <w:pPr>
        <w:jc w:val="both"/>
        <w:rPr>
          <w:rFonts w:ascii="Arial" w:hAnsi="Arial" w:cs="Arial"/>
          <w:color w:val="2E74B5" w:themeColor="accent1" w:themeShade="BF"/>
          <w:sz w:val="24"/>
          <w:szCs w:val="24"/>
        </w:rPr>
      </w:pPr>
    </w:p>
    <w:p w14:paraId="71C5CA2E" w14:textId="77777777" w:rsidR="00653A61" w:rsidRDefault="00563720">
      <w:pPr>
        <w:jc w:val="center"/>
        <w:rPr>
          <w:rFonts w:ascii="Arial" w:hAnsi="Arial" w:cs="Arial"/>
          <w:color w:val="2E74B5" w:themeColor="accent1" w:themeShade="BF"/>
          <w:sz w:val="24"/>
          <w:szCs w:val="24"/>
        </w:rPr>
      </w:pPr>
      <w:r>
        <w:rPr>
          <w:rFonts w:ascii="Arial" w:hAnsi="Arial" w:cs="Arial"/>
          <w:b/>
          <w:bCs/>
          <w:color w:val="2E74B5" w:themeColor="accent1" w:themeShade="BF"/>
          <w:sz w:val="24"/>
          <w:szCs w:val="24"/>
        </w:rPr>
        <w:t>Fuente:</w:t>
      </w:r>
      <w:r>
        <w:rPr>
          <w:rFonts w:ascii="Arial" w:hAnsi="Arial" w:cs="Arial"/>
          <w:color w:val="2E74B5" w:themeColor="accent1" w:themeShade="BF"/>
          <w:sz w:val="24"/>
          <w:szCs w:val="24"/>
        </w:rPr>
        <w:t xml:space="preserve"> Elaboración propia con base en (Mehrabian &amp; Russell 1974; Hernández Sampieri &amp; Mendoza 2020) y literatura especializada.</w:t>
      </w:r>
    </w:p>
    <w:p w14:paraId="4BEA2951" w14:textId="77777777" w:rsidR="00653A61" w:rsidRDefault="00653A61">
      <w:pPr>
        <w:jc w:val="both"/>
        <w:rPr>
          <w:rFonts w:ascii="Arial" w:hAnsi="Arial" w:cs="Arial"/>
          <w:color w:val="2E74B5" w:themeColor="accent1" w:themeShade="BF"/>
          <w:sz w:val="24"/>
          <w:szCs w:val="24"/>
        </w:rPr>
      </w:pPr>
    </w:p>
    <w:p w14:paraId="713FE3C3"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Planteamiento de hipótesis</w:t>
      </w:r>
    </w:p>
    <w:p w14:paraId="3B1199CA" w14:textId="77777777" w:rsidR="00653A61" w:rsidRDefault="00653A61">
      <w:pPr>
        <w:jc w:val="both"/>
        <w:rPr>
          <w:rFonts w:ascii="Arial" w:hAnsi="Arial" w:cs="Arial"/>
          <w:b/>
          <w:bCs/>
          <w:color w:val="2E74B5" w:themeColor="accent1" w:themeShade="BF"/>
          <w:sz w:val="24"/>
          <w:szCs w:val="24"/>
        </w:rPr>
      </w:pPr>
    </w:p>
    <w:p w14:paraId="2D45AE3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 partir de estas relaciones, se formulan las siguientes hipótesis:</w:t>
      </w:r>
    </w:p>
    <w:p w14:paraId="6539CAB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H1: La valencia emocional generada por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se relaciona positivamente con el comportamiento de compra de los jóvenes bogotanos.</w:t>
      </w:r>
    </w:p>
    <w:p w14:paraId="75230B5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H2: El estímulo emocional generado por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se relaciona positivamente con el comportamiento de compra de los jóvenes bogotanos.</w:t>
      </w:r>
    </w:p>
    <w:p w14:paraId="5C78387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H3: La experiencia emocional digital se relaciona positivamente con el comportamiento de compra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0B1C12B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H4: El comportamiento de compra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se asocia con la preferencia por marcas locales de moda en jóvenes bogotanos.</w:t>
      </w:r>
    </w:p>
    <w:p w14:paraId="4F06C14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H5: El comportamiento de compra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se relaciona negativamente con la preferencia por marcas locales de moda.</w:t>
      </w:r>
    </w:p>
    <w:p w14:paraId="5130E574" w14:textId="77777777" w:rsidR="00653A61" w:rsidRDefault="00653A61">
      <w:pPr>
        <w:jc w:val="both"/>
        <w:rPr>
          <w:rFonts w:ascii="Arial" w:hAnsi="Arial" w:cs="Arial"/>
          <w:color w:val="2E74B5" w:themeColor="accent1" w:themeShade="BF"/>
          <w:sz w:val="24"/>
          <w:szCs w:val="24"/>
        </w:rPr>
      </w:pPr>
    </w:p>
    <w:p w14:paraId="5BDF833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Con el propósito de representar estructuralmente las relaciones planteadas entre las variables del estudio, se presenta el modelo sagital de hipótesis. Este esquema permite observar gráficamente los efectos directos e indirectos propuestos, así como la relación de mediación del comportamiento de compra.</w:t>
      </w:r>
    </w:p>
    <w:p w14:paraId="28BA6473" w14:textId="77777777" w:rsidR="00653A61" w:rsidRDefault="00653A61">
      <w:pPr>
        <w:jc w:val="both"/>
        <w:rPr>
          <w:rFonts w:ascii="Arial" w:hAnsi="Arial" w:cs="Arial"/>
          <w:color w:val="2E74B5" w:themeColor="accent1" w:themeShade="BF"/>
          <w:sz w:val="24"/>
          <w:szCs w:val="24"/>
        </w:rPr>
      </w:pPr>
    </w:p>
    <w:p w14:paraId="11AC467A" w14:textId="77777777" w:rsidR="00653A61" w:rsidRDefault="00653A61">
      <w:pPr>
        <w:jc w:val="center"/>
        <w:rPr>
          <w:rFonts w:ascii="Arial" w:hAnsi="Arial" w:cs="Arial"/>
          <w:color w:val="2E74B5" w:themeColor="accent1" w:themeShade="BF"/>
          <w:sz w:val="24"/>
          <w:szCs w:val="24"/>
        </w:rPr>
      </w:pPr>
    </w:p>
    <w:p w14:paraId="191880BA" w14:textId="77777777" w:rsidR="00653A61" w:rsidRDefault="00653A61">
      <w:pPr>
        <w:jc w:val="center"/>
        <w:rPr>
          <w:rFonts w:ascii="Arial" w:hAnsi="Arial" w:cs="Arial"/>
          <w:color w:val="2E74B5" w:themeColor="accent1" w:themeShade="BF"/>
          <w:sz w:val="24"/>
          <w:szCs w:val="24"/>
        </w:rPr>
      </w:pPr>
    </w:p>
    <w:p w14:paraId="5C0F2135" w14:textId="77777777" w:rsidR="00653A61" w:rsidRDefault="00653A61">
      <w:pPr>
        <w:jc w:val="center"/>
        <w:rPr>
          <w:rFonts w:ascii="Arial" w:hAnsi="Arial" w:cs="Arial"/>
          <w:color w:val="2E74B5" w:themeColor="accent1" w:themeShade="BF"/>
          <w:sz w:val="24"/>
          <w:szCs w:val="24"/>
        </w:rPr>
      </w:pPr>
    </w:p>
    <w:p w14:paraId="4B79CC97" w14:textId="77777777" w:rsidR="00653A61" w:rsidRDefault="00653A61">
      <w:pPr>
        <w:jc w:val="center"/>
        <w:rPr>
          <w:rFonts w:ascii="Arial" w:hAnsi="Arial" w:cs="Arial"/>
          <w:color w:val="2E74B5" w:themeColor="accent1" w:themeShade="BF"/>
          <w:sz w:val="24"/>
          <w:szCs w:val="24"/>
        </w:rPr>
      </w:pPr>
    </w:p>
    <w:p w14:paraId="1AAA8AA2"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Figura 1: Modelo Conceptual</w:t>
      </w:r>
    </w:p>
    <w:p w14:paraId="1B953129" w14:textId="77777777" w:rsidR="00653A61" w:rsidRDefault="00563720">
      <w:pPr>
        <w:jc w:val="center"/>
        <w:rPr>
          <w:rFonts w:ascii="Arial" w:hAnsi="Arial" w:cs="Arial"/>
          <w:sz w:val="24"/>
          <w:szCs w:val="24"/>
        </w:rPr>
      </w:pPr>
      <w:r>
        <w:rPr>
          <w:noProof/>
        </w:rPr>
        <w:drawing>
          <wp:inline distT="0" distB="0" distL="0" distR="0" wp14:anchorId="25D4CBA1" wp14:editId="6F94B0DC">
            <wp:extent cx="3973195" cy="242506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9"/>
                    <a:stretch>
                      <a:fillRect/>
                    </a:stretch>
                  </pic:blipFill>
                  <pic:spPr bwMode="auto">
                    <a:xfrm>
                      <a:off x="0" y="0"/>
                      <a:ext cx="3973195" cy="2425065"/>
                    </a:xfrm>
                    <a:prstGeom prst="rect">
                      <a:avLst/>
                    </a:prstGeom>
                    <a:noFill/>
                  </pic:spPr>
                </pic:pic>
              </a:graphicData>
            </a:graphic>
          </wp:inline>
        </w:drawing>
      </w:r>
    </w:p>
    <w:p w14:paraId="458BB03C" w14:textId="77777777" w:rsidR="00653A61" w:rsidRDefault="00563720">
      <w:pPr>
        <w:rPr>
          <w:rFonts w:ascii="Arial" w:hAnsi="Arial" w:cs="Arial"/>
          <w:bCs/>
          <w:color w:val="FFFFFF" w:themeColor="background1"/>
          <w:sz w:val="24"/>
          <w:szCs w:val="24"/>
        </w:rPr>
      </w:pPr>
      <w:r>
        <w:rPr>
          <w:rFonts w:ascii="Arial" w:hAnsi="Arial" w:cs="Arial"/>
          <w:bCs/>
          <w:color w:val="FFFFFF" w:themeColor="background1"/>
          <w:sz w:val="24"/>
          <w:szCs w:val="24"/>
        </w:rPr>
        <w:t xml:space="preserve">        </w:t>
      </w:r>
      <w:r>
        <w:rPr>
          <w:rFonts w:ascii="Arial" w:hAnsi="Arial" w:cs="Arial"/>
          <w:b/>
          <w:color w:val="2E74B5" w:themeColor="accent1" w:themeShade="BF"/>
          <w:sz w:val="24"/>
          <w:szCs w:val="24"/>
        </w:rPr>
        <w:t>Fuente:</w:t>
      </w:r>
      <w:r>
        <w:rPr>
          <w:rFonts w:ascii="Arial" w:hAnsi="Arial" w:cs="Arial"/>
          <w:bCs/>
          <w:color w:val="2E74B5" w:themeColor="accent1" w:themeShade="BF"/>
          <w:sz w:val="24"/>
          <w:szCs w:val="24"/>
        </w:rPr>
        <w:t xml:space="preserve"> Elaboración Propia</w:t>
      </w:r>
    </w:p>
    <w:p w14:paraId="1AF4CC6F" w14:textId="77777777" w:rsidR="00653A61" w:rsidRDefault="00653A61">
      <w:pPr>
        <w:rPr>
          <w:rFonts w:ascii="Arial" w:hAnsi="Arial" w:cs="Arial"/>
          <w:bCs/>
          <w:color w:val="2E74B5" w:themeColor="accent1" w:themeShade="BF"/>
          <w:sz w:val="16"/>
          <w:szCs w:val="16"/>
        </w:rPr>
      </w:pPr>
    </w:p>
    <w:p w14:paraId="3C53819C" w14:textId="77777777" w:rsidR="00653A61" w:rsidRDefault="00653A61">
      <w:pPr>
        <w:rPr>
          <w:rFonts w:ascii="Arial" w:hAnsi="Arial" w:cs="Arial"/>
          <w:bCs/>
          <w:color w:val="2E74B5" w:themeColor="accent1" w:themeShade="BF"/>
          <w:sz w:val="16"/>
          <w:szCs w:val="16"/>
        </w:rPr>
      </w:pPr>
    </w:p>
    <w:p w14:paraId="6AA01BDB"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H1: Valencia emocional → Comportamiento de compra</w:t>
      </w:r>
    </w:p>
    <w:p w14:paraId="1B5986C3"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H2: Activación emocional → Comportamiento de compra</w:t>
      </w:r>
    </w:p>
    <w:p w14:paraId="5493B763"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H3: Experiencia emocional digital → Comportamiento de compra</w:t>
      </w:r>
    </w:p>
    <w:p w14:paraId="41EF34EB"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H4: El comportamiento de compra se asocia con la relación entre respuestas emocionales y preferencia por marcas locales</w:t>
      </w:r>
    </w:p>
    <w:p w14:paraId="10CE010D"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H5: Comportamiento de compra → Preferencia por marcas locales</w:t>
      </w:r>
    </w:p>
    <w:p w14:paraId="4A0B15DB" w14:textId="77777777" w:rsidR="00653A61" w:rsidRDefault="00653A61">
      <w:pPr>
        <w:rPr>
          <w:rFonts w:ascii="Arial" w:hAnsi="Arial" w:cs="Arial"/>
          <w:b/>
          <w:sz w:val="24"/>
          <w:szCs w:val="24"/>
        </w:rPr>
      </w:pPr>
    </w:p>
    <w:p w14:paraId="26524D00"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Cada una de las variables del estudio fue operacionalizada mediante indicadores observables, medidos a través de ítems cerrados en escala Likert de cinco puntos (1 = Totalmente en desacuerdo; 5 = Totalmente de acuerdo).</w:t>
      </w:r>
    </w:p>
    <w:p w14:paraId="3E60B5B1" w14:textId="77777777" w:rsidR="00653A61" w:rsidRDefault="00653A61">
      <w:pPr>
        <w:jc w:val="both"/>
        <w:rPr>
          <w:rFonts w:ascii="Arial" w:hAnsi="Arial" w:cs="Arial"/>
          <w:bCs/>
          <w:color w:val="2E74B5" w:themeColor="accent1" w:themeShade="BF"/>
          <w:sz w:val="24"/>
          <w:szCs w:val="24"/>
        </w:rPr>
      </w:pPr>
    </w:p>
    <w:p w14:paraId="1F272616"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Respuestas emocionales asociadas a la experiencia digital: medidas a partir de las dimensiones valencia emocional (placer/agrado), activación emocional (</w:t>
      </w:r>
      <w:proofErr w:type="spellStart"/>
      <w:r>
        <w:rPr>
          <w:rFonts w:ascii="Arial" w:hAnsi="Arial" w:cs="Arial"/>
          <w:bCs/>
          <w:color w:val="2E74B5" w:themeColor="accent1" w:themeShade="BF"/>
          <w:sz w:val="24"/>
          <w:szCs w:val="24"/>
        </w:rPr>
        <w:t>arousal</w:t>
      </w:r>
      <w:proofErr w:type="spellEnd"/>
      <w:r>
        <w:rPr>
          <w:rFonts w:ascii="Arial" w:hAnsi="Arial" w:cs="Arial"/>
          <w:bCs/>
          <w:color w:val="2E74B5" w:themeColor="accent1" w:themeShade="BF"/>
          <w:sz w:val="24"/>
          <w:szCs w:val="24"/>
        </w:rPr>
        <w:t xml:space="preserve">) y experiencia emocional digital, con base en el modelo PAD de (Mehrabian &amp; Russell 1974) y estudios sobre experiencia emocional en entornos digitales (Hwang &amp; </w:t>
      </w:r>
      <w:proofErr w:type="spellStart"/>
      <w:r>
        <w:rPr>
          <w:rFonts w:ascii="Arial" w:hAnsi="Arial" w:cs="Arial"/>
          <w:bCs/>
          <w:color w:val="2E74B5" w:themeColor="accent1" w:themeShade="BF"/>
          <w:sz w:val="24"/>
          <w:szCs w:val="24"/>
        </w:rPr>
        <w:t>Kandampully</w:t>
      </w:r>
      <w:proofErr w:type="spellEnd"/>
      <w:r>
        <w:rPr>
          <w:rFonts w:ascii="Arial" w:hAnsi="Arial" w:cs="Arial"/>
          <w:bCs/>
          <w:color w:val="2E74B5" w:themeColor="accent1" w:themeShade="BF"/>
          <w:sz w:val="24"/>
          <w:szCs w:val="24"/>
        </w:rPr>
        <w:t xml:space="preserve"> 2012).</w:t>
      </w:r>
    </w:p>
    <w:p w14:paraId="3BECEB37" w14:textId="77777777" w:rsidR="00653A61" w:rsidRDefault="00653A61">
      <w:pPr>
        <w:jc w:val="both"/>
        <w:rPr>
          <w:rFonts w:ascii="Arial" w:hAnsi="Arial" w:cs="Arial"/>
          <w:bCs/>
          <w:color w:val="2E74B5" w:themeColor="accent1" w:themeShade="BF"/>
          <w:sz w:val="24"/>
          <w:szCs w:val="24"/>
        </w:rPr>
      </w:pPr>
    </w:p>
    <w:p w14:paraId="0B0872ED"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Comportamiento de compra: medido mediante indicadores como frecuencia de compra, intención de recompra y preferencia por el canal digital, siguiendo aportes de (Garcés-Giraldo, Bermeo-Giraldo, Valencia-Arias, &amp; Benjumea-Arias 2022).</w:t>
      </w:r>
    </w:p>
    <w:p w14:paraId="5E2DAEAF" w14:textId="77777777" w:rsidR="00653A61" w:rsidRDefault="00653A61">
      <w:pPr>
        <w:jc w:val="both"/>
        <w:rPr>
          <w:rFonts w:ascii="Arial" w:hAnsi="Arial" w:cs="Arial"/>
          <w:bCs/>
          <w:color w:val="2E74B5" w:themeColor="accent1" w:themeShade="BF"/>
          <w:sz w:val="24"/>
          <w:szCs w:val="24"/>
        </w:rPr>
      </w:pPr>
    </w:p>
    <w:p w14:paraId="19935F72"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Preferencia por marcas locales de moda: evaluada desde una lógica comparativa frente a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fundamentada en el enfoque de preferencia del consumidor y valor percibido. (Hellier et al. 2003).</w:t>
      </w:r>
    </w:p>
    <w:p w14:paraId="45C15328" w14:textId="77777777" w:rsidR="00653A61" w:rsidRDefault="00653A61">
      <w:pPr>
        <w:jc w:val="both"/>
        <w:rPr>
          <w:rFonts w:ascii="Arial" w:hAnsi="Arial" w:cs="Arial"/>
          <w:bCs/>
          <w:color w:val="2E74B5" w:themeColor="accent1" w:themeShade="BF"/>
          <w:sz w:val="24"/>
          <w:szCs w:val="24"/>
        </w:rPr>
      </w:pPr>
    </w:p>
    <w:p w14:paraId="24A00EF5" w14:textId="77777777"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t>2.4.1 Justificación conceptual de las dimensiones e ítems</w:t>
      </w:r>
    </w:p>
    <w:p w14:paraId="2B6A9649" w14:textId="77777777" w:rsidR="00653A61" w:rsidRDefault="00653A61">
      <w:pPr>
        <w:jc w:val="both"/>
        <w:rPr>
          <w:rFonts w:ascii="Arial" w:hAnsi="Arial" w:cs="Arial"/>
          <w:b/>
          <w:color w:val="2E74B5" w:themeColor="accent1" w:themeShade="BF"/>
          <w:sz w:val="24"/>
          <w:szCs w:val="24"/>
        </w:rPr>
      </w:pPr>
    </w:p>
    <w:p w14:paraId="33143AB9"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La medición de las variables del estudio se fundamenta en el principio de coherencia entre los constructos teóricos y su operacionalización empírica. Dado que las variables analizadas, respuestas emocionales, comportamiento de compra y preferencia por marcas locales corresponden a constructos latentes no observables directamente, su medición se realiza mediante dimensiones e indicadores respaldados por la literatura especializada (Hair et al., 2019).</w:t>
      </w:r>
    </w:p>
    <w:p w14:paraId="2A1D9AA2" w14:textId="77777777" w:rsidR="00653A61" w:rsidRDefault="00653A61">
      <w:pPr>
        <w:rPr>
          <w:rFonts w:ascii="Arial" w:hAnsi="Arial" w:cs="Arial"/>
          <w:b/>
          <w:sz w:val="24"/>
          <w:szCs w:val="24"/>
        </w:rPr>
      </w:pPr>
    </w:p>
    <w:p w14:paraId="4CC20102" w14:textId="77777777"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t>Variable: Respuestas emocionales vinculadas a la experiencia digital</w:t>
      </w:r>
    </w:p>
    <w:p w14:paraId="49AD807E" w14:textId="77777777" w:rsidR="00653A61" w:rsidRDefault="00653A61">
      <w:pPr>
        <w:jc w:val="both"/>
        <w:rPr>
          <w:rFonts w:ascii="Arial" w:hAnsi="Arial" w:cs="Arial"/>
          <w:b/>
          <w:color w:val="2E74B5" w:themeColor="accent1" w:themeShade="BF"/>
          <w:sz w:val="24"/>
          <w:szCs w:val="24"/>
        </w:rPr>
      </w:pPr>
    </w:p>
    <w:p w14:paraId="202748A7"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Esta variable se fundamenta en el modelo PAD (Pleasure–</w:t>
      </w:r>
      <w:proofErr w:type="spellStart"/>
      <w:r>
        <w:rPr>
          <w:rFonts w:ascii="Arial" w:hAnsi="Arial" w:cs="Arial"/>
          <w:bCs/>
          <w:color w:val="2E74B5" w:themeColor="accent1" w:themeShade="BF"/>
          <w:sz w:val="24"/>
          <w:szCs w:val="24"/>
        </w:rPr>
        <w:t>Arousal</w:t>
      </w:r>
      <w:proofErr w:type="spellEnd"/>
      <w:r>
        <w:rPr>
          <w:rFonts w:ascii="Arial" w:hAnsi="Arial" w:cs="Arial"/>
          <w:bCs/>
          <w:color w:val="2E74B5" w:themeColor="accent1" w:themeShade="BF"/>
          <w:sz w:val="24"/>
          <w:szCs w:val="24"/>
        </w:rPr>
        <w:t>–</w:t>
      </w:r>
      <w:proofErr w:type="spellStart"/>
      <w:r>
        <w:rPr>
          <w:rFonts w:ascii="Arial" w:hAnsi="Arial" w:cs="Arial"/>
          <w:bCs/>
          <w:color w:val="2E74B5" w:themeColor="accent1" w:themeShade="BF"/>
          <w:sz w:val="24"/>
          <w:szCs w:val="24"/>
        </w:rPr>
        <w:t>Dominance</w:t>
      </w:r>
      <w:proofErr w:type="spellEnd"/>
      <w:r>
        <w:rPr>
          <w:rFonts w:ascii="Arial" w:hAnsi="Arial" w:cs="Arial"/>
          <w:bCs/>
          <w:color w:val="2E74B5" w:themeColor="accent1" w:themeShade="BF"/>
          <w:sz w:val="24"/>
          <w:szCs w:val="24"/>
        </w:rPr>
        <w:t xml:space="preserve">) propuesto por (Mehrabian y Russell 1974), el cual sostiene que los estímulos ambientales podrían estar relacionadas con estados afectivos que se relacionan con la conducta del individuo. En entornos digitales, estos estados emocionales han sido aplicados al análisis del comportamiento del consumidor en comercio electrónico (Hwang &amp; </w:t>
      </w:r>
      <w:proofErr w:type="spellStart"/>
      <w:r>
        <w:rPr>
          <w:rFonts w:ascii="Arial" w:hAnsi="Arial" w:cs="Arial"/>
          <w:bCs/>
          <w:color w:val="2E74B5" w:themeColor="accent1" w:themeShade="BF"/>
          <w:sz w:val="24"/>
          <w:szCs w:val="24"/>
        </w:rPr>
        <w:t>Kandampully</w:t>
      </w:r>
      <w:proofErr w:type="spellEnd"/>
      <w:r>
        <w:rPr>
          <w:rFonts w:ascii="Arial" w:hAnsi="Arial" w:cs="Arial"/>
          <w:bCs/>
          <w:color w:val="2E74B5" w:themeColor="accent1" w:themeShade="BF"/>
          <w:sz w:val="24"/>
          <w:szCs w:val="24"/>
        </w:rPr>
        <w:t>, 2012).</w:t>
      </w:r>
    </w:p>
    <w:p w14:paraId="1E1AF135" w14:textId="77777777" w:rsidR="00653A61" w:rsidRDefault="00653A61">
      <w:pPr>
        <w:jc w:val="both"/>
        <w:rPr>
          <w:rFonts w:ascii="Arial" w:hAnsi="Arial" w:cs="Arial"/>
          <w:bCs/>
          <w:color w:val="2E74B5" w:themeColor="accent1" w:themeShade="BF"/>
          <w:sz w:val="24"/>
          <w:szCs w:val="24"/>
        </w:rPr>
      </w:pPr>
    </w:p>
    <w:p w14:paraId="0AA43D1F"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Asimismo, el marketing emocional plantea que las decisiones de compra no responden únicamente a procesos racionales, sino a experiencias afectivas derivadas de la interacción con marcas y plataformas digitales (Achar et al. 2016).</w:t>
      </w:r>
    </w:p>
    <w:p w14:paraId="59C990F2" w14:textId="77777777" w:rsidR="00653A61" w:rsidRDefault="00653A61">
      <w:pPr>
        <w:jc w:val="both"/>
        <w:rPr>
          <w:rFonts w:ascii="Arial" w:hAnsi="Arial" w:cs="Arial"/>
          <w:bCs/>
          <w:color w:val="2E74B5" w:themeColor="accent1" w:themeShade="BF"/>
          <w:sz w:val="24"/>
          <w:szCs w:val="24"/>
        </w:rPr>
      </w:pPr>
    </w:p>
    <w:p w14:paraId="24CA8715"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Dimensión 1: Valencia emocional</w:t>
      </w:r>
    </w:p>
    <w:p w14:paraId="08ACEB14" w14:textId="77777777" w:rsidR="00653A61" w:rsidRDefault="00653A61">
      <w:pPr>
        <w:jc w:val="both"/>
        <w:rPr>
          <w:rFonts w:ascii="Arial" w:hAnsi="Arial" w:cs="Arial"/>
          <w:bCs/>
          <w:color w:val="2E74B5" w:themeColor="accent1" w:themeShade="BF"/>
          <w:sz w:val="24"/>
          <w:szCs w:val="24"/>
        </w:rPr>
      </w:pPr>
    </w:p>
    <w:p w14:paraId="6CC30573"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lastRenderedPageBreak/>
        <w:t xml:space="preserve">La valencia representa el componente Pleasure del modelo PAD, el cual evalúa el grado de agrado o satisfacción generado por un entorno determinado (Mehrabian &amp; Russell, 1974). En el contexto del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digital, esta dimensión permite medir la evaluación afectiva positiva asociada a la navegación, compra y exposición a estímulos visuales y promocionales.</w:t>
      </w:r>
    </w:p>
    <w:p w14:paraId="10B50CE8" w14:textId="77777777" w:rsidR="00653A61" w:rsidRDefault="00653A61">
      <w:pPr>
        <w:jc w:val="both"/>
        <w:rPr>
          <w:rFonts w:ascii="Arial" w:hAnsi="Arial" w:cs="Arial"/>
          <w:bCs/>
          <w:color w:val="2E74B5" w:themeColor="accent1" w:themeShade="BF"/>
          <w:sz w:val="24"/>
          <w:szCs w:val="24"/>
        </w:rPr>
      </w:pPr>
    </w:p>
    <w:p w14:paraId="0CBCEB23"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Los ítems asociados a esta dimensión evalúan:</w:t>
      </w:r>
    </w:p>
    <w:p w14:paraId="469562CC"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Agrado frente a la experiencia.</w:t>
      </w:r>
    </w:p>
    <w:p w14:paraId="6BFC1814"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Sensaciones positivas durante el proceso de compra.</w:t>
      </w:r>
    </w:p>
    <w:p w14:paraId="4134ADA7"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Satisfacción posterior al proceso </w:t>
      </w:r>
      <w:proofErr w:type="gramStart"/>
      <w:r>
        <w:rPr>
          <w:rFonts w:ascii="Arial" w:hAnsi="Arial" w:cs="Arial"/>
          <w:bCs/>
          <w:color w:val="2E74B5" w:themeColor="accent1" w:themeShade="BF"/>
          <w:sz w:val="24"/>
          <w:szCs w:val="24"/>
        </w:rPr>
        <w:t>de  compra</w:t>
      </w:r>
      <w:proofErr w:type="gramEnd"/>
      <w:r>
        <w:rPr>
          <w:rFonts w:ascii="Arial" w:hAnsi="Arial" w:cs="Arial"/>
          <w:bCs/>
          <w:color w:val="2E74B5" w:themeColor="accent1" w:themeShade="BF"/>
          <w:sz w:val="24"/>
          <w:szCs w:val="24"/>
        </w:rPr>
        <w:t>.</w:t>
      </w:r>
    </w:p>
    <w:p w14:paraId="1CF6B936"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Sensación emocional residual.</w:t>
      </w:r>
    </w:p>
    <w:p w14:paraId="402C026B" w14:textId="77777777" w:rsidR="00653A61" w:rsidRDefault="00653A61">
      <w:pPr>
        <w:jc w:val="both"/>
        <w:rPr>
          <w:rFonts w:ascii="Arial" w:hAnsi="Arial" w:cs="Arial"/>
          <w:bCs/>
          <w:color w:val="2E74B5" w:themeColor="accent1" w:themeShade="BF"/>
          <w:sz w:val="24"/>
          <w:szCs w:val="24"/>
        </w:rPr>
      </w:pPr>
    </w:p>
    <w:p w14:paraId="73658661"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Estos indicadores documentan </w:t>
      </w:r>
      <w:proofErr w:type="spellStart"/>
      <w:r>
        <w:rPr>
          <w:rFonts w:ascii="Arial" w:hAnsi="Arial" w:cs="Arial"/>
          <w:bCs/>
          <w:color w:val="2E74B5" w:themeColor="accent1" w:themeShade="BF"/>
          <w:sz w:val="24"/>
          <w:szCs w:val="24"/>
        </w:rPr>
        <w:t>experiencialmente</w:t>
      </w:r>
      <w:proofErr w:type="spellEnd"/>
      <w:r>
        <w:rPr>
          <w:rFonts w:ascii="Arial" w:hAnsi="Arial" w:cs="Arial"/>
          <w:bCs/>
          <w:color w:val="2E74B5" w:themeColor="accent1" w:themeShade="BF"/>
          <w:sz w:val="24"/>
          <w:szCs w:val="24"/>
        </w:rPr>
        <w:t xml:space="preserve"> la reacción afectiva tanto inmediata como posterior generada a partir </w:t>
      </w:r>
      <w:proofErr w:type="gramStart"/>
      <w:r>
        <w:rPr>
          <w:rFonts w:ascii="Arial" w:hAnsi="Arial" w:cs="Arial"/>
          <w:bCs/>
          <w:color w:val="2E74B5" w:themeColor="accent1" w:themeShade="BF"/>
          <w:sz w:val="24"/>
          <w:szCs w:val="24"/>
        </w:rPr>
        <w:t>de  la</w:t>
      </w:r>
      <w:proofErr w:type="gramEnd"/>
      <w:r>
        <w:rPr>
          <w:rFonts w:ascii="Arial" w:hAnsi="Arial" w:cs="Arial"/>
          <w:bCs/>
          <w:color w:val="2E74B5" w:themeColor="accent1" w:themeShade="BF"/>
          <w:sz w:val="24"/>
          <w:szCs w:val="24"/>
        </w:rPr>
        <w:t xml:space="preserve"> interacción con la plataforma, lo cual está en concordancia con aplicaciones contemporáneas del modelo PAD en entornos digitales (Hwang &amp; </w:t>
      </w:r>
      <w:proofErr w:type="spellStart"/>
      <w:r>
        <w:rPr>
          <w:rFonts w:ascii="Arial" w:hAnsi="Arial" w:cs="Arial"/>
          <w:bCs/>
          <w:color w:val="2E74B5" w:themeColor="accent1" w:themeShade="BF"/>
          <w:sz w:val="24"/>
          <w:szCs w:val="24"/>
        </w:rPr>
        <w:t>Kandampully</w:t>
      </w:r>
      <w:proofErr w:type="spellEnd"/>
      <w:r>
        <w:rPr>
          <w:rFonts w:ascii="Arial" w:hAnsi="Arial" w:cs="Arial"/>
          <w:bCs/>
          <w:color w:val="2E74B5" w:themeColor="accent1" w:themeShade="BF"/>
          <w:sz w:val="24"/>
          <w:szCs w:val="24"/>
        </w:rPr>
        <w:t>, 2012).</w:t>
      </w:r>
    </w:p>
    <w:p w14:paraId="18E12A55" w14:textId="77777777" w:rsidR="00653A61" w:rsidRDefault="00653A61">
      <w:pPr>
        <w:jc w:val="both"/>
        <w:rPr>
          <w:rFonts w:ascii="Arial" w:hAnsi="Arial" w:cs="Arial"/>
          <w:bCs/>
          <w:color w:val="2E74B5" w:themeColor="accent1" w:themeShade="BF"/>
          <w:sz w:val="24"/>
          <w:szCs w:val="24"/>
        </w:rPr>
      </w:pPr>
    </w:p>
    <w:p w14:paraId="1121B25C"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Dimensión 2: Activación emocional</w:t>
      </w:r>
    </w:p>
    <w:p w14:paraId="54C41EBB" w14:textId="77777777" w:rsidR="00653A61" w:rsidRDefault="00653A61">
      <w:pPr>
        <w:jc w:val="both"/>
        <w:rPr>
          <w:rFonts w:ascii="Arial" w:hAnsi="Arial" w:cs="Arial"/>
          <w:bCs/>
          <w:color w:val="2E74B5" w:themeColor="accent1" w:themeShade="BF"/>
          <w:sz w:val="24"/>
          <w:szCs w:val="24"/>
        </w:rPr>
      </w:pPr>
    </w:p>
    <w:p w14:paraId="02DBC554"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La activación corresponde al componente </w:t>
      </w:r>
      <w:proofErr w:type="spellStart"/>
      <w:r>
        <w:rPr>
          <w:rFonts w:ascii="Arial" w:hAnsi="Arial" w:cs="Arial"/>
          <w:bCs/>
          <w:color w:val="2E74B5" w:themeColor="accent1" w:themeShade="BF"/>
          <w:sz w:val="24"/>
          <w:szCs w:val="24"/>
        </w:rPr>
        <w:t>Arousal</w:t>
      </w:r>
      <w:proofErr w:type="spellEnd"/>
      <w:r>
        <w:rPr>
          <w:rFonts w:ascii="Arial" w:hAnsi="Arial" w:cs="Arial"/>
          <w:bCs/>
          <w:color w:val="2E74B5" w:themeColor="accent1" w:themeShade="BF"/>
          <w:sz w:val="24"/>
          <w:szCs w:val="24"/>
        </w:rPr>
        <w:t xml:space="preserve"> del modelo PAD, el cual mide el nivel de estimulación, entusiasmo o energía emocional inducida por el entorno (Mehrabian &amp; Russell, 1974).</w:t>
      </w:r>
    </w:p>
    <w:p w14:paraId="442DCF61" w14:textId="77777777" w:rsidR="00653A61" w:rsidRDefault="00653A61">
      <w:pPr>
        <w:jc w:val="both"/>
        <w:rPr>
          <w:rFonts w:ascii="Arial" w:hAnsi="Arial" w:cs="Arial"/>
          <w:bCs/>
          <w:color w:val="2E74B5" w:themeColor="accent1" w:themeShade="BF"/>
          <w:sz w:val="24"/>
          <w:szCs w:val="24"/>
        </w:rPr>
      </w:pPr>
    </w:p>
    <w:p w14:paraId="2C7987FF"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En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esta activación suele generarse a partir de estímulos como promociones limitadas, descuentos dinámicos y notificaciones de urgencia, características que se relacionan con la impulsividad del consumidor digital (Tan, Y. 2024).</w:t>
      </w:r>
    </w:p>
    <w:p w14:paraId="4D62FE41" w14:textId="77777777" w:rsidR="00653A61" w:rsidRDefault="00653A61">
      <w:pPr>
        <w:jc w:val="both"/>
        <w:rPr>
          <w:rFonts w:ascii="Arial" w:hAnsi="Arial" w:cs="Arial"/>
          <w:bCs/>
          <w:color w:val="2E74B5" w:themeColor="accent1" w:themeShade="BF"/>
          <w:sz w:val="24"/>
          <w:szCs w:val="24"/>
        </w:rPr>
      </w:pPr>
    </w:p>
    <w:p w14:paraId="69C0DB6D"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Los ítems incluidos evalúan:</w:t>
      </w:r>
    </w:p>
    <w:p w14:paraId="26AEE04E"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Emoción o entusiasmo experimentados durante la navegación.</w:t>
      </w:r>
    </w:p>
    <w:p w14:paraId="1DDFE5E8"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Sensación de urgencia generada </w:t>
      </w:r>
      <w:proofErr w:type="gramStart"/>
      <w:r>
        <w:rPr>
          <w:rFonts w:ascii="Arial" w:hAnsi="Arial" w:cs="Arial"/>
          <w:bCs/>
          <w:color w:val="2E74B5" w:themeColor="accent1" w:themeShade="BF"/>
          <w:sz w:val="24"/>
          <w:szCs w:val="24"/>
        </w:rPr>
        <w:t>a  partir</w:t>
      </w:r>
      <w:proofErr w:type="gramEnd"/>
      <w:r>
        <w:rPr>
          <w:rFonts w:ascii="Arial" w:hAnsi="Arial" w:cs="Arial"/>
          <w:bCs/>
          <w:color w:val="2E74B5" w:themeColor="accent1" w:themeShade="BF"/>
          <w:sz w:val="24"/>
          <w:szCs w:val="24"/>
        </w:rPr>
        <w:t xml:space="preserve"> </w:t>
      </w:r>
      <w:proofErr w:type="gramStart"/>
      <w:r>
        <w:rPr>
          <w:rFonts w:ascii="Arial" w:hAnsi="Arial" w:cs="Arial"/>
          <w:bCs/>
          <w:color w:val="2E74B5" w:themeColor="accent1" w:themeShade="BF"/>
          <w:sz w:val="24"/>
          <w:szCs w:val="24"/>
        </w:rPr>
        <w:t>de  las</w:t>
      </w:r>
      <w:proofErr w:type="gramEnd"/>
      <w:r>
        <w:rPr>
          <w:rFonts w:ascii="Arial" w:hAnsi="Arial" w:cs="Arial"/>
          <w:bCs/>
          <w:color w:val="2E74B5" w:themeColor="accent1" w:themeShade="BF"/>
          <w:sz w:val="24"/>
          <w:szCs w:val="24"/>
        </w:rPr>
        <w:t xml:space="preserve"> promociones.</w:t>
      </w:r>
    </w:p>
    <w:p w14:paraId="3183B964"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Impulso de exploración.</w:t>
      </w:r>
    </w:p>
    <w:p w14:paraId="256C0F71"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Impulso de compra ante descuentos.</w:t>
      </w:r>
    </w:p>
    <w:p w14:paraId="3D991AEC" w14:textId="77777777" w:rsidR="00653A61" w:rsidRDefault="00653A61">
      <w:pPr>
        <w:jc w:val="both"/>
        <w:rPr>
          <w:rFonts w:ascii="Arial" w:hAnsi="Arial" w:cs="Arial"/>
          <w:bCs/>
          <w:color w:val="2E74B5" w:themeColor="accent1" w:themeShade="BF"/>
          <w:sz w:val="24"/>
          <w:szCs w:val="24"/>
        </w:rPr>
      </w:pPr>
    </w:p>
    <w:p w14:paraId="35AAA468"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lastRenderedPageBreak/>
        <w:t>Estos indicadores permiten medir la reactividad emocional asociada a estímulos comerciales propios del entorno digital competitivo.</w:t>
      </w:r>
    </w:p>
    <w:p w14:paraId="6E71E6FF" w14:textId="77777777" w:rsidR="00653A61" w:rsidRDefault="00653A61">
      <w:pPr>
        <w:jc w:val="both"/>
        <w:rPr>
          <w:rFonts w:ascii="Arial" w:hAnsi="Arial" w:cs="Arial"/>
          <w:bCs/>
          <w:color w:val="2E74B5" w:themeColor="accent1" w:themeShade="BF"/>
          <w:sz w:val="24"/>
          <w:szCs w:val="24"/>
        </w:rPr>
      </w:pPr>
    </w:p>
    <w:p w14:paraId="1568D840"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Dimensión 3: Experiencia emocional digital</w:t>
      </w:r>
    </w:p>
    <w:p w14:paraId="723CDDB2" w14:textId="77777777" w:rsidR="00653A61" w:rsidRDefault="00653A61">
      <w:pPr>
        <w:jc w:val="both"/>
        <w:rPr>
          <w:rFonts w:ascii="Arial" w:hAnsi="Arial" w:cs="Arial"/>
          <w:bCs/>
          <w:color w:val="2E74B5" w:themeColor="accent1" w:themeShade="BF"/>
          <w:sz w:val="24"/>
          <w:szCs w:val="24"/>
        </w:rPr>
      </w:pPr>
    </w:p>
    <w:p w14:paraId="2411FCB0"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Esta dimensión amplía la perspectiva del modelo PAD hacia el involucramiento afectivo sostenido en entornos digitales. Diversos estudios han señalado que la experiencia interactiva en plataformas digitales se relaciona con la permanencia, atención e inmersión del usuario (Hwang &amp; </w:t>
      </w:r>
      <w:proofErr w:type="spellStart"/>
      <w:r>
        <w:rPr>
          <w:rFonts w:ascii="Arial" w:hAnsi="Arial" w:cs="Arial"/>
          <w:bCs/>
          <w:color w:val="2E74B5" w:themeColor="accent1" w:themeShade="BF"/>
          <w:sz w:val="24"/>
          <w:szCs w:val="24"/>
        </w:rPr>
        <w:t>Kandampully</w:t>
      </w:r>
      <w:proofErr w:type="spellEnd"/>
      <w:r>
        <w:rPr>
          <w:rFonts w:ascii="Arial" w:hAnsi="Arial" w:cs="Arial"/>
          <w:bCs/>
          <w:color w:val="2E74B5" w:themeColor="accent1" w:themeShade="BF"/>
          <w:sz w:val="24"/>
          <w:szCs w:val="24"/>
        </w:rPr>
        <w:t>, 2012).</w:t>
      </w:r>
    </w:p>
    <w:p w14:paraId="6117ABB3" w14:textId="77777777" w:rsidR="00653A61" w:rsidRDefault="00653A61">
      <w:pPr>
        <w:jc w:val="both"/>
        <w:rPr>
          <w:rFonts w:ascii="Arial" w:hAnsi="Arial" w:cs="Arial"/>
          <w:bCs/>
          <w:color w:val="2E74B5" w:themeColor="accent1" w:themeShade="BF"/>
          <w:sz w:val="24"/>
          <w:szCs w:val="24"/>
        </w:rPr>
      </w:pPr>
    </w:p>
    <w:p w14:paraId="6422E1F8"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Los ítems asociados miden:</w:t>
      </w:r>
    </w:p>
    <w:p w14:paraId="2943CF2C"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Satisfacción durante la interacción.</w:t>
      </w:r>
    </w:p>
    <w:p w14:paraId="296F89ED"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Estímulo emocional general.</w:t>
      </w:r>
    </w:p>
    <w:p w14:paraId="370B12C1"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Atención sostenida durante la navegación.</w:t>
      </w:r>
    </w:p>
    <w:p w14:paraId="3EDB3ECB" w14:textId="77777777" w:rsidR="00653A61" w:rsidRDefault="00653A61">
      <w:pPr>
        <w:jc w:val="both"/>
        <w:rPr>
          <w:rFonts w:ascii="Arial" w:hAnsi="Arial" w:cs="Arial"/>
          <w:bCs/>
          <w:color w:val="2E74B5" w:themeColor="accent1" w:themeShade="BF"/>
          <w:sz w:val="24"/>
          <w:szCs w:val="24"/>
        </w:rPr>
      </w:pPr>
    </w:p>
    <w:p w14:paraId="7C04D2ED"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De este modo, la experiencia emocional digital mide el componente experiencial del marketing emocional aplicado a plataformas de comercio electrónico, integrando aspectos afectivos y de vinculación cognitiva.</w:t>
      </w:r>
    </w:p>
    <w:p w14:paraId="601CBE7D" w14:textId="77777777" w:rsidR="00653A61" w:rsidRDefault="00653A61">
      <w:pPr>
        <w:jc w:val="both"/>
        <w:rPr>
          <w:rFonts w:ascii="Arial" w:hAnsi="Arial" w:cs="Arial"/>
          <w:bCs/>
          <w:color w:val="2E74B5" w:themeColor="accent1" w:themeShade="BF"/>
          <w:sz w:val="24"/>
          <w:szCs w:val="24"/>
        </w:rPr>
      </w:pPr>
    </w:p>
    <w:p w14:paraId="49C4ACEF" w14:textId="77777777"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t>Variable: Comportamiento de compra</w:t>
      </w:r>
    </w:p>
    <w:p w14:paraId="192B1967" w14:textId="77777777" w:rsidR="00653A61" w:rsidRDefault="00653A61">
      <w:pPr>
        <w:jc w:val="both"/>
        <w:rPr>
          <w:rFonts w:ascii="Arial" w:hAnsi="Arial" w:cs="Arial"/>
          <w:bCs/>
          <w:color w:val="2E74B5" w:themeColor="accent1" w:themeShade="BF"/>
          <w:sz w:val="24"/>
          <w:szCs w:val="24"/>
        </w:rPr>
      </w:pPr>
    </w:p>
    <w:p w14:paraId="257A5053"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El comportamiento de compra se concibe como la respuesta conductual observable derivada de estímulos emocionales, en coherencia con el modelo Estímulo, Organismo y Respuesta (SOR), donde los estados internos se relacionan con la acción (Mehrabian &amp; Russell, 1974).</w:t>
      </w:r>
    </w:p>
    <w:p w14:paraId="606833B4" w14:textId="77777777" w:rsidR="00653A61" w:rsidRDefault="00653A61">
      <w:pPr>
        <w:jc w:val="both"/>
        <w:rPr>
          <w:rFonts w:ascii="Arial" w:hAnsi="Arial" w:cs="Arial"/>
          <w:bCs/>
          <w:color w:val="2E74B5" w:themeColor="accent1" w:themeShade="BF"/>
          <w:sz w:val="24"/>
          <w:szCs w:val="24"/>
        </w:rPr>
      </w:pPr>
    </w:p>
    <w:p w14:paraId="18945909"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La literatura sobre comportamiento del consumidor digital ha señalado que la frecuencia de compra y la intención de recompra constituyen indicadores válidos de conducta observable y proyectada (Hellier et al., 2003; Garcés-Giraldo et al., 2022).</w:t>
      </w:r>
    </w:p>
    <w:p w14:paraId="0E285D2E" w14:textId="77777777" w:rsidR="00653A61" w:rsidRDefault="00653A61">
      <w:pPr>
        <w:jc w:val="both"/>
        <w:rPr>
          <w:rFonts w:ascii="Arial" w:hAnsi="Arial" w:cs="Arial"/>
          <w:bCs/>
          <w:color w:val="2E74B5" w:themeColor="accent1" w:themeShade="BF"/>
          <w:sz w:val="24"/>
          <w:szCs w:val="24"/>
        </w:rPr>
      </w:pPr>
    </w:p>
    <w:p w14:paraId="3D8B55F3"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Por ello, la variable se operacionaliza a través de:</w:t>
      </w:r>
    </w:p>
    <w:p w14:paraId="256D1383"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Frecuencia de compra: conducta repetitiva declarada.</w:t>
      </w:r>
    </w:p>
    <w:p w14:paraId="64923FF6"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lastRenderedPageBreak/>
        <w:t>Intención de recompra: proyección conductual futura.</w:t>
      </w:r>
    </w:p>
    <w:p w14:paraId="59ACA31F"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Preferencia por canal digital: inclinación comparativa frente a alternativas locales.</w:t>
      </w:r>
    </w:p>
    <w:p w14:paraId="4EFAC589" w14:textId="77777777" w:rsidR="00653A61" w:rsidRDefault="00653A61">
      <w:pPr>
        <w:jc w:val="both"/>
        <w:rPr>
          <w:rFonts w:ascii="Arial" w:hAnsi="Arial" w:cs="Arial"/>
          <w:bCs/>
          <w:color w:val="2E74B5" w:themeColor="accent1" w:themeShade="BF"/>
          <w:sz w:val="24"/>
          <w:szCs w:val="24"/>
        </w:rPr>
      </w:pPr>
    </w:p>
    <w:p w14:paraId="0578FA7B"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Cada componente permite medir decisiones conductuales asociadas al consumo en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w:t>
      </w:r>
    </w:p>
    <w:p w14:paraId="620A085E" w14:textId="77777777" w:rsidR="005C7CE9" w:rsidRDefault="005C7CE9">
      <w:pPr>
        <w:jc w:val="both"/>
        <w:rPr>
          <w:rFonts w:ascii="Arial" w:hAnsi="Arial" w:cs="Arial"/>
          <w:b/>
          <w:color w:val="2E74B5" w:themeColor="accent1" w:themeShade="BF"/>
          <w:sz w:val="24"/>
          <w:szCs w:val="24"/>
        </w:rPr>
      </w:pPr>
    </w:p>
    <w:p w14:paraId="0D2DEEC5" w14:textId="76B03C66"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t>Variable: Preferencia por marcas locales</w:t>
      </w:r>
    </w:p>
    <w:p w14:paraId="362DA3E1" w14:textId="77777777" w:rsidR="00653A61" w:rsidRDefault="00653A61">
      <w:pPr>
        <w:jc w:val="both"/>
        <w:rPr>
          <w:rFonts w:ascii="Arial" w:hAnsi="Arial" w:cs="Arial"/>
          <w:bCs/>
          <w:color w:val="2E74B5" w:themeColor="accent1" w:themeShade="BF"/>
          <w:sz w:val="24"/>
          <w:szCs w:val="24"/>
        </w:rPr>
      </w:pPr>
    </w:p>
    <w:p w14:paraId="0FF4BDF1"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La preferencia por marcas locales se entiende como una predisposición actitudinal basada en la evaluación comparativa y el valor percibido, factores determinantes en la decisión del consumidor (Hellier et al., 2003).</w:t>
      </w:r>
    </w:p>
    <w:p w14:paraId="3B2779CD" w14:textId="77777777" w:rsidR="00653A61" w:rsidRDefault="00653A61">
      <w:pPr>
        <w:jc w:val="both"/>
        <w:rPr>
          <w:rFonts w:ascii="Arial" w:hAnsi="Arial" w:cs="Arial"/>
          <w:bCs/>
          <w:color w:val="2E74B5" w:themeColor="accent1" w:themeShade="BF"/>
          <w:sz w:val="24"/>
          <w:szCs w:val="24"/>
        </w:rPr>
      </w:pPr>
    </w:p>
    <w:p w14:paraId="7478909A"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Dentro del contexto de la competencia digital, dicha preferencia puede verse afectada por la presencia de plataformas internacionales de bajo costo con amplia variedad, que alteran los patrones tradicionales de elección (Garcés-Giraldo et al., 2022).</w:t>
      </w:r>
    </w:p>
    <w:p w14:paraId="505049B3" w14:textId="77777777" w:rsidR="00653A61" w:rsidRDefault="00653A61">
      <w:pPr>
        <w:jc w:val="both"/>
        <w:rPr>
          <w:rFonts w:ascii="Arial" w:hAnsi="Arial" w:cs="Arial"/>
          <w:bCs/>
          <w:color w:val="2E74B5" w:themeColor="accent1" w:themeShade="BF"/>
          <w:sz w:val="24"/>
          <w:szCs w:val="24"/>
        </w:rPr>
      </w:pPr>
    </w:p>
    <w:p w14:paraId="33282548"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Los ítems formulados permiten evaluar:</w:t>
      </w:r>
    </w:p>
    <w:p w14:paraId="262AF90D"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Disposición de elección local.</w:t>
      </w:r>
    </w:p>
    <w:p w14:paraId="59A11C8C"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Valoración percibida frente a marcas nacionales.</w:t>
      </w:r>
    </w:p>
    <w:p w14:paraId="14D102E0" w14:textId="77777777" w:rsidR="00653A61" w:rsidRDefault="00563720">
      <w:pPr>
        <w:pStyle w:val="Prrafodelista"/>
        <w:numPr>
          <w:ilvl w:val="0"/>
          <w:numId w:val="1"/>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Comparación competitiva frente a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internacional.</w:t>
      </w:r>
    </w:p>
    <w:p w14:paraId="316800F3" w14:textId="77777777" w:rsidR="00653A61" w:rsidRDefault="00653A61">
      <w:pPr>
        <w:jc w:val="both"/>
        <w:rPr>
          <w:rFonts w:ascii="Arial" w:hAnsi="Arial" w:cs="Arial"/>
          <w:bCs/>
          <w:color w:val="2E74B5" w:themeColor="accent1" w:themeShade="BF"/>
          <w:sz w:val="24"/>
          <w:szCs w:val="24"/>
        </w:rPr>
      </w:pPr>
    </w:p>
    <w:p w14:paraId="7DF93F3E"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Esta medición permite captar </w:t>
      </w:r>
      <w:proofErr w:type="spellStart"/>
      <w:r>
        <w:rPr>
          <w:rFonts w:ascii="Arial" w:hAnsi="Arial" w:cs="Arial"/>
          <w:bCs/>
          <w:color w:val="2E74B5" w:themeColor="accent1" w:themeShade="BF"/>
          <w:sz w:val="24"/>
          <w:szCs w:val="24"/>
        </w:rPr>
        <w:t>experiencialmente</w:t>
      </w:r>
      <w:proofErr w:type="spellEnd"/>
      <w:r>
        <w:rPr>
          <w:rFonts w:ascii="Arial" w:hAnsi="Arial" w:cs="Arial"/>
          <w:bCs/>
          <w:color w:val="2E74B5" w:themeColor="accent1" w:themeShade="BF"/>
          <w:sz w:val="24"/>
          <w:szCs w:val="24"/>
        </w:rPr>
        <w:t xml:space="preserve"> el posible cambio en la afinidad y preferencia generado por el consumo digital.</w:t>
      </w:r>
    </w:p>
    <w:p w14:paraId="5DFC2CFA" w14:textId="77777777" w:rsidR="00653A61" w:rsidRDefault="00653A61">
      <w:pPr>
        <w:jc w:val="both"/>
        <w:rPr>
          <w:rFonts w:ascii="Arial" w:hAnsi="Arial" w:cs="Arial"/>
          <w:bCs/>
          <w:color w:val="2E74B5" w:themeColor="accent1" w:themeShade="BF"/>
          <w:sz w:val="24"/>
          <w:szCs w:val="24"/>
        </w:rPr>
      </w:pPr>
    </w:p>
    <w:p w14:paraId="2E564B9D"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Con el fin de garantizar la validez de contenido, la construcción de los ítems se realizó con base en literatura académica reconocida y en la coherencia conceptual entre constructo, dimensión e indicador. De esta forma, se aseguró que cada ítem reflejara adecuadamente el dominio teórico de la variable que pretende medir (Haynes, Richard &amp; </w:t>
      </w:r>
      <w:proofErr w:type="spellStart"/>
      <w:r>
        <w:rPr>
          <w:rFonts w:ascii="Arial" w:hAnsi="Arial" w:cs="Arial"/>
          <w:bCs/>
          <w:color w:val="2E74B5" w:themeColor="accent1" w:themeShade="BF"/>
          <w:sz w:val="24"/>
          <w:szCs w:val="24"/>
        </w:rPr>
        <w:t>Kubany</w:t>
      </w:r>
      <w:proofErr w:type="spellEnd"/>
      <w:r>
        <w:rPr>
          <w:rFonts w:ascii="Arial" w:hAnsi="Arial" w:cs="Arial"/>
          <w:bCs/>
          <w:color w:val="2E74B5" w:themeColor="accent1" w:themeShade="BF"/>
          <w:sz w:val="24"/>
          <w:szCs w:val="24"/>
        </w:rPr>
        <w:t xml:space="preserve">, 1995). </w:t>
      </w:r>
    </w:p>
    <w:p w14:paraId="3F9F82E1" w14:textId="77777777" w:rsidR="00653A61" w:rsidRDefault="00653A61">
      <w:pPr>
        <w:jc w:val="both"/>
        <w:rPr>
          <w:rFonts w:ascii="Arial" w:hAnsi="Arial" w:cs="Arial"/>
          <w:bCs/>
          <w:color w:val="2E74B5" w:themeColor="accent1" w:themeShade="BF"/>
          <w:sz w:val="24"/>
          <w:szCs w:val="24"/>
        </w:rPr>
      </w:pPr>
    </w:p>
    <w:p w14:paraId="5062B25F" w14:textId="77777777" w:rsidR="005C7CE9" w:rsidRDefault="005C7CE9">
      <w:pPr>
        <w:jc w:val="both"/>
        <w:rPr>
          <w:rFonts w:ascii="Arial" w:hAnsi="Arial" w:cs="Arial"/>
          <w:b/>
          <w:color w:val="2E74B5" w:themeColor="accent1" w:themeShade="BF"/>
          <w:sz w:val="24"/>
          <w:szCs w:val="24"/>
        </w:rPr>
      </w:pPr>
    </w:p>
    <w:p w14:paraId="656CB818" w14:textId="35EFECF8"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lastRenderedPageBreak/>
        <w:t>2.5 Instrumento de recolección de información</w:t>
      </w:r>
    </w:p>
    <w:p w14:paraId="16DF6011" w14:textId="77777777" w:rsidR="00653A61" w:rsidRDefault="00653A61">
      <w:pPr>
        <w:jc w:val="both"/>
        <w:rPr>
          <w:rFonts w:ascii="Arial" w:hAnsi="Arial" w:cs="Arial"/>
          <w:bCs/>
          <w:color w:val="2E74B5" w:themeColor="accent1" w:themeShade="BF"/>
          <w:sz w:val="24"/>
          <w:szCs w:val="24"/>
        </w:rPr>
      </w:pPr>
    </w:p>
    <w:p w14:paraId="12751C82"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Para la recolección de los datos se utilizó un cuestionario estructurado, aplicado mediante encuesta digital, diseñado a partir de escalas previamente validadas en la literatura y adaptadas al contexto del estudio. El instrumento se estructuró en ejes de indagación coherentes con las variables:</w:t>
      </w:r>
    </w:p>
    <w:p w14:paraId="0B65A939" w14:textId="77777777" w:rsidR="00653A61" w:rsidRPr="005C7CE9" w:rsidRDefault="00563720">
      <w:pPr>
        <w:jc w:val="both"/>
        <w:rPr>
          <w:rFonts w:ascii="Arial" w:hAnsi="Arial" w:cs="Arial"/>
          <w:bCs/>
          <w:color w:val="2E74B5" w:themeColor="accent1" w:themeShade="BF"/>
          <w:sz w:val="24"/>
          <w:szCs w:val="24"/>
        </w:rPr>
      </w:pPr>
      <w:r w:rsidRPr="005C7CE9">
        <w:rPr>
          <w:rFonts w:ascii="Arial" w:hAnsi="Arial"/>
          <w:color w:val="2E74B5" w:themeColor="accent1" w:themeShade="BF"/>
          <w:sz w:val="24"/>
        </w:rPr>
        <w:t xml:space="preserve">Dado que algunas de las escalas base (modelo PAD de Mehrabian &amp; Russell, y escalas de experiencia emocional digital de Hwang &amp; </w:t>
      </w:r>
      <w:proofErr w:type="spellStart"/>
      <w:r w:rsidRPr="005C7CE9">
        <w:rPr>
          <w:rFonts w:ascii="Arial" w:hAnsi="Arial"/>
          <w:color w:val="2E74B5" w:themeColor="accent1" w:themeShade="BF"/>
          <w:sz w:val="24"/>
        </w:rPr>
        <w:t>Kandampully</w:t>
      </w:r>
      <w:proofErr w:type="spellEnd"/>
      <w:r w:rsidRPr="005C7CE9">
        <w:rPr>
          <w:rFonts w:ascii="Arial" w:hAnsi="Arial"/>
          <w:color w:val="2E74B5" w:themeColor="accent1" w:themeShade="BF"/>
          <w:sz w:val="24"/>
        </w:rPr>
        <w:t>) fueron desarrolladas originalmente en inglés, su incorporación al instrumento se realizó mediante un proceso de traducción y adaptación cultural al español, seguido de una revisión de equivalencia semántica por parte de la investigadora y la asesora del trabajo de grado, y validado posteriormente en la prueba piloto descrita en el numeral 2.6.</w:t>
      </w:r>
    </w:p>
    <w:p w14:paraId="31D360C6" w14:textId="77777777" w:rsidR="00653A61" w:rsidRDefault="00653A61">
      <w:pPr>
        <w:jc w:val="both"/>
        <w:rPr>
          <w:rFonts w:ascii="Arial" w:hAnsi="Arial" w:cs="Arial"/>
          <w:bCs/>
          <w:color w:val="2E74B5" w:themeColor="accent1" w:themeShade="BF"/>
          <w:sz w:val="24"/>
          <w:szCs w:val="24"/>
        </w:rPr>
      </w:pPr>
    </w:p>
    <w:p w14:paraId="15345297" w14:textId="77777777" w:rsidR="00653A61" w:rsidRDefault="00563720">
      <w:pPr>
        <w:pStyle w:val="Prrafodelista"/>
        <w:numPr>
          <w:ilvl w:val="0"/>
          <w:numId w:val="7"/>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Eje 1: Experiencia digital y respuestas emocionales. Categorías orientadoras: placer agrado, activación emocional, estimulación emocional, involucramiento afectivo.</w:t>
      </w:r>
    </w:p>
    <w:p w14:paraId="13512959" w14:textId="77777777" w:rsidR="00653A61" w:rsidRDefault="00563720">
      <w:pPr>
        <w:pStyle w:val="Prrafodelista"/>
        <w:numPr>
          <w:ilvl w:val="0"/>
          <w:numId w:val="7"/>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Eje 2: Comportamiento de compra en las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Categorías directrices: frecuencia de compra, intención de recompra, preferencia por la plataforma.</w:t>
      </w:r>
    </w:p>
    <w:p w14:paraId="2BAC018B" w14:textId="77777777" w:rsidR="00653A61" w:rsidRDefault="00563720">
      <w:pPr>
        <w:pStyle w:val="Prrafodelista"/>
        <w:numPr>
          <w:ilvl w:val="0"/>
          <w:numId w:val="7"/>
        </w:num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Eje 3: Preferencia por marcas locales de moda. Categorías directrices: disposición de compra, comparación con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valoración de marcas locales.</w:t>
      </w:r>
    </w:p>
    <w:p w14:paraId="00C3EC8B" w14:textId="77777777" w:rsidR="00653A61" w:rsidRDefault="00653A61">
      <w:pPr>
        <w:jc w:val="both"/>
        <w:rPr>
          <w:rFonts w:ascii="Arial" w:hAnsi="Arial" w:cs="Arial"/>
          <w:bCs/>
          <w:color w:val="2E74B5" w:themeColor="accent1" w:themeShade="BF"/>
          <w:sz w:val="24"/>
          <w:szCs w:val="24"/>
        </w:rPr>
      </w:pPr>
    </w:p>
    <w:p w14:paraId="77564910"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Cada variable fue </w:t>
      </w:r>
      <w:proofErr w:type="gramStart"/>
      <w:r>
        <w:rPr>
          <w:rFonts w:ascii="Arial" w:hAnsi="Arial" w:cs="Arial"/>
          <w:bCs/>
          <w:color w:val="2E74B5" w:themeColor="accent1" w:themeShade="BF"/>
          <w:sz w:val="24"/>
          <w:szCs w:val="24"/>
        </w:rPr>
        <w:t>medida  a</w:t>
      </w:r>
      <w:proofErr w:type="gramEnd"/>
      <w:r>
        <w:rPr>
          <w:rFonts w:ascii="Arial" w:hAnsi="Arial" w:cs="Arial"/>
          <w:bCs/>
          <w:color w:val="2E74B5" w:themeColor="accent1" w:themeShade="BF"/>
          <w:sz w:val="24"/>
          <w:szCs w:val="24"/>
        </w:rPr>
        <w:t xml:space="preserve"> través de indicadores observables medidos a través de ítems cerrados en escala Likert de cinco puntos: 1 = Totalmente en desacuerdo; 5 = Totalmente de acuerdo. Las escalas se fundamentan en el modelo PAD (Mehrabian &amp; Russell 1974), en estudios sobre experiencia emocional digital (Hwang &amp; </w:t>
      </w:r>
      <w:proofErr w:type="spellStart"/>
      <w:r>
        <w:rPr>
          <w:rFonts w:ascii="Arial" w:hAnsi="Arial" w:cs="Arial"/>
          <w:bCs/>
          <w:color w:val="2E74B5" w:themeColor="accent1" w:themeShade="BF"/>
          <w:sz w:val="24"/>
          <w:szCs w:val="24"/>
        </w:rPr>
        <w:t>Kandampully</w:t>
      </w:r>
      <w:proofErr w:type="spellEnd"/>
      <w:r>
        <w:rPr>
          <w:rFonts w:ascii="Arial" w:hAnsi="Arial" w:cs="Arial"/>
          <w:bCs/>
          <w:color w:val="2E74B5" w:themeColor="accent1" w:themeShade="BF"/>
          <w:sz w:val="24"/>
          <w:szCs w:val="24"/>
        </w:rPr>
        <w:t xml:space="preserve"> 2012) y en literatura sobre comportamiento de compra y preferencia del consumidor (Garcés-Giraldo, Bermeo-Giraldo, Valencia-Arias, &amp; Benjumea-Arias 2022).</w:t>
      </w:r>
    </w:p>
    <w:p w14:paraId="443DF056" w14:textId="77777777" w:rsidR="00653A61" w:rsidRDefault="00653A61">
      <w:pPr>
        <w:jc w:val="both"/>
        <w:rPr>
          <w:rFonts w:ascii="Arial" w:hAnsi="Arial" w:cs="Arial"/>
          <w:bCs/>
          <w:color w:val="2E74B5" w:themeColor="accent1" w:themeShade="BF"/>
          <w:sz w:val="24"/>
          <w:szCs w:val="24"/>
        </w:rPr>
      </w:pPr>
    </w:p>
    <w:p w14:paraId="1739EC7C"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Antes de su aplicación definitiva, el instrumento fue sometido a una prueba piloto que incluyó 10 participantes, quienes cumplían con los criterios de inclusión del estudio. Esta fase permitió evaluar la claridad de los ítems, la comprensión del lenguaje empleado y el tiempo promedio de respuesta. Con base en los resultados </w:t>
      </w:r>
      <w:r>
        <w:rPr>
          <w:rFonts w:ascii="Arial" w:hAnsi="Arial" w:cs="Arial"/>
          <w:bCs/>
          <w:color w:val="2E74B5" w:themeColor="accent1" w:themeShade="BF"/>
          <w:sz w:val="24"/>
          <w:szCs w:val="24"/>
        </w:rPr>
        <w:lastRenderedPageBreak/>
        <w:t>obtenidos, se realizaron ajustes menores en la redacción de algunos ítems con el fin de mejorar su comprensión y coherencia.</w:t>
      </w:r>
    </w:p>
    <w:p w14:paraId="24321156" w14:textId="77777777" w:rsidR="00653A61" w:rsidRDefault="00653A61">
      <w:pPr>
        <w:jc w:val="both"/>
        <w:rPr>
          <w:rFonts w:ascii="Arial" w:hAnsi="Arial" w:cs="Arial"/>
          <w:bCs/>
          <w:color w:val="2E74B5" w:themeColor="accent1" w:themeShade="BF"/>
          <w:sz w:val="24"/>
          <w:szCs w:val="24"/>
        </w:rPr>
      </w:pPr>
    </w:p>
    <w:p w14:paraId="2FCFE43D"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La operacionalización del instrumento presentada a continuación refleja la coherencia entre los constructos teóricos abordados, las dimensiones seleccionadas y los indicadores definidos, garantizando la consistencia conceptual entre el marco teórico y la medición empírica. Cada ítem fue formulado a partir de escalas previamente validadas y adaptado al contexto específico de las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y la población objeto de estudio (Ver Anexo A).</w:t>
      </w:r>
    </w:p>
    <w:p w14:paraId="5573C363" w14:textId="77777777" w:rsidR="00653A61" w:rsidRDefault="00653A61">
      <w:pPr>
        <w:jc w:val="both"/>
        <w:rPr>
          <w:rFonts w:ascii="Arial" w:hAnsi="Arial" w:cs="Arial"/>
          <w:bCs/>
          <w:color w:val="2E74B5" w:themeColor="accent1" w:themeShade="BF"/>
          <w:sz w:val="24"/>
          <w:szCs w:val="24"/>
        </w:rPr>
      </w:pPr>
    </w:p>
    <w:p w14:paraId="551B94E4"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Dado que el marketing emocional no cuenta con una escala psicométrica única, en esta investigación se operacionaliza a través de las respuestas emocionales generadas por la experiencia digital en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siguiendo el modelo PAD de (Mehrabian &amp; Russell 1974) y escalas de experiencia emocional digital previamente validadas en la literatura.</w:t>
      </w:r>
    </w:p>
    <w:p w14:paraId="1E2BC632" w14:textId="77777777"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t>2.6 Prueba piloto del instrumento</w:t>
      </w:r>
    </w:p>
    <w:p w14:paraId="105F3E10" w14:textId="77777777" w:rsidR="00653A61" w:rsidRDefault="00653A61">
      <w:pPr>
        <w:jc w:val="both"/>
        <w:rPr>
          <w:rFonts w:ascii="Arial" w:hAnsi="Arial" w:cs="Arial"/>
          <w:b/>
          <w:color w:val="2E74B5" w:themeColor="accent1" w:themeShade="BF"/>
          <w:sz w:val="24"/>
          <w:szCs w:val="24"/>
        </w:rPr>
      </w:pPr>
    </w:p>
    <w:p w14:paraId="30DCB3BF"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Antes de la aplicación definitiva del cuestionario, se realizó una prueba piloto del instrumento con el propósito de evaluar su funcionamiento, claridad, comprensión y consistencia preliminar. Esta etapa permitió identificar posibles dificultades en la interpretación de los ítems, redundancias en la redacción y oportunidades de mejora antes del proceso de recolección final de datos.</w:t>
      </w:r>
    </w:p>
    <w:p w14:paraId="1DE86840" w14:textId="77777777" w:rsidR="00653A61" w:rsidRDefault="00653A61">
      <w:pPr>
        <w:jc w:val="both"/>
        <w:rPr>
          <w:rFonts w:ascii="Arial" w:hAnsi="Arial" w:cs="Arial"/>
          <w:bCs/>
          <w:color w:val="2E74B5" w:themeColor="accent1" w:themeShade="BF"/>
          <w:sz w:val="24"/>
          <w:szCs w:val="24"/>
        </w:rPr>
      </w:pPr>
    </w:p>
    <w:p w14:paraId="77F42C20"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El </w:t>
      </w:r>
      <w:proofErr w:type="gramStart"/>
      <w:r>
        <w:rPr>
          <w:rFonts w:ascii="Arial" w:hAnsi="Arial" w:cs="Arial"/>
          <w:bCs/>
          <w:color w:val="2E74B5" w:themeColor="accent1" w:themeShade="BF"/>
          <w:sz w:val="24"/>
          <w:szCs w:val="24"/>
        </w:rPr>
        <w:t>pre test</w:t>
      </w:r>
      <w:proofErr w:type="gramEnd"/>
      <w:r>
        <w:rPr>
          <w:rFonts w:ascii="Arial" w:hAnsi="Arial" w:cs="Arial"/>
          <w:bCs/>
          <w:color w:val="2E74B5" w:themeColor="accent1" w:themeShade="BF"/>
          <w:sz w:val="24"/>
          <w:szCs w:val="24"/>
        </w:rPr>
        <w:t xml:space="preserve"> fue aplicado de manera presencial a 21 participantes con características similares a la población objetivo del estudio, es decir, jóvenes entre los 18 y 28 años, residentes en Bogotá y usuarios de plataformas digitales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como </w:t>
      </w:r>
      <w:r>
        <w:rPr>
          <w:rFonts w:ascii="Arial" w:hAnsi="Arial" w:cs="Arial"/>
          <w:bCs/>
          <w:i/>
          <w:color w:val="2E74B5" w:themeColor="accent1" w:themeShade="BF"/>
          <w:sz w:val="24"/>
          <w:szCs w:val="24"/>
        </w:rPr>
        <w:t>Temu</w:t>
      </w:r>
      <w:r>
        <w:rPr>
          <w:rFonts w:ascii="Arial" w:hAnsi="Arial" w:cs="Arial"/>
          <w:bCs/>
          <w:color w:val="2E74B5" w:themeColor="accent1" w:themeShade="BF"/>
          <w:sz w:val="24"/>
          <w:szCs w:val="24"/>
        </w:rPr>
        <w:t xml:space="preserve">, </w:t>
      </w:r>
      <w:r>
        <w:rPr>
          <w:rFonts w:ascii="Arial" w:hAnsi="Arial" w:cs="Arial"/>
          <w:bCs/>
          <w:i/>
          <w:color w:val="2E74B5" w:themeColor="accent1" w:themeShade="BF"/>
          <w:sz w:val="24"/>
          <w:szCs w:val="24"/>
        </w:rPr>
        <w:t>SHEIN</w:t>
      </w:r>
      <w:r>
        <w:rPr>
          <w:rFonts w:ascii="Arial" w:hAnsi="Arial" w:cs="Arial"/>
          <w:bCs/>
          <w:color w:val="2E74B5" w:themeColor="accent1" w:themeShade="BF"/>
          <w:sz w:val="24"/>
          <w:szCs w:val="24"/>
        </w:rPr>
        <w:t xml:space="preserve"> u otras similares. Durante el diligenciamiento del instrumento se realizó acompañamiento directo a los participantes, permitiendo observar el comportamiento de respuesta y registrar comentarios relacionados con la comprensión de las preguntas y la estructura general del cuestionario.</w:t>
      </w:r>
    </w:p>
    <w:p w14:paraId="6D4DAF66" w14:textId="77777777" w:rsidR="00653A61" w:rsidRDefault="00653A61">
      <w:pPr>
        <w:jc w:val="both"/>
        <w:rPr>
          <w:rFonts w:ascii="Arial" w:hAnsi="Arial" w:cs="Arial"/>
          <w:bCs/>
          <w:color w:val="2E74B5" w:themeColor="accent1" w:themeShade="BF"/>
          <w:sz w:val="24"/>
          <w:szCs w:val="24"/>
        </w:rPr>
      </w:pPr>
    </w:p>
    <w:p w14:paraId="584ECBEC"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Durante el desarrollo de la prueba piloto se evaluaron aspectos relacionados con la claridad y comprensión de los ítems, el tiempo promedio de respuesta, la posible redundancia entre preguntas y las observaciones realizadas por los participantes sobre la redacción del instrumento. Los resultados evidenciaron que el tiempo de </w:t>
      </w:r>
      <w:r>
        <w:rPr>
          <w:rFonts w:ascii="Arial" w:hAnsi="Arial" w:cs="Arial"/>
          <w:bCs/>
          <w:color w:val="2E74B5" w:themeColor="accent1" w:themeShade="BF"/>
          <w:sz w:val="24"/>
          <w:szCs w:val="24"/>
        </w:rPr>
        <w:lastRenderedPageBreak/>
        <w:t>diligenciamiento osciló entre 3:09 y 4:26 minutos aproximadamente, confirmando que la extensión del cuestionario era adecuada para su aplicación definitiva.</w:t>
      </w:r>
    </w:p>
    <w:p w14:paraId="61F1FDEA" w14:textId="77777777" w:rsidR="00653A61" w:rsidRDefault="00653A61">
      <w:pPr>
        <w:jc w:val="both"/>
        <w:rPr>
          <w:rFonts w:ascii="Arial" w:hAnsi="Arial" w:cs="Arial"/>
          <w:bCs/>
          <w:color w:val="2E74B5" w:themeColor="accent1" w:themeShade="BF"/>
          <w:sz w:val="24"/>
          <w:szCs w:val="24"/>
        </w:rPr>
      </w:pPr>
    </w:p>
    <w:p w14:paraId="1BA6EA67"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Asimismo, se identificaron algunas oportunidades de mejora en la redacción de determinados ítems. En la sección sociodemográfica, varios participantes manifestaron desconocimiento acerca del valor exacto del salario mínimo legal vigente, razón por la cual se agregó el valor de referencia dentro de la pregunta correspondiente. De igual manera, la pregunta relacionada con localidad de residencia fue reemplazada por estrato socioeconómico, debido a que algunos participantes no tenían claridad sobre la localidad a la que pertenecían.</w:t>
      </w:r>
    </w:p>
    <w:p w14:paraId="6D7B3693" w14:textId="77777777" w:rsidR="00653A61" w:rsidRDefault="00653A61">
      <w:pPr>
        <w:jc w:val="both"/>
        <w:rPr>
          <w:rFonts w:ascii="Arial" w:hAnsi="Arial" w:cs="Arial"/>
          <w:bCs/>
          <w:color w:val="2E74B5" w:themeColor="accent1" w:themeShade="BF"/>
          <w:sz w:val="24"/>
          <w:szCs w:val="24"/>
        </w:rPr>
      </w:pPr>
    </w:p>
    <w:p w14:paraId="2AE99858"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En las dimensiones asociadas a las respuestas emocionales vinculadas a la experiencia digital, algunos participantes percibieron similitud entre ciertos ítems de la variable de valencia emocional, especialmente entre VE1, VE2 y VE4. Adicionalmente, varios participantes señalaron que la repetición constante de la expresión “plataformas digitales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como </w:t>
      </w:r>
      <w:r>
        <w:rPr>
          <w:rFonts w:ascii="Arial" w:hAnsi="Arial" w:cs="Arial"/>
          <w:bCs/>
          <w:i/>
          <w:color w:val="2E74B5" w:themeColor="accent1" w:themeShade="BF"/>
          <w:sz w:val="24"/>
          <w:szCs w:val="24"/>
        </w:rPr>
        <w:t>Temu</w:t>
      </w:r>
      <w:r>
        <w:rPr>
          <w:rFonts w:ascii="Arial" w:hAnsi="Arial" w:cs="Arial"/>
          <w:bCs/>
          <w:color w:val="2E74B5" w:themeColor="accent1" w:themeShade="BF"/>
          <w:sz w:val="24"/>
          <w:szCs w:val="24"/>
        </w:rPr>
        <w:t xml:space="preserve">, </w:t>
      </w:r>
      <w:r>
        <w:rPr>
          <w:rFonts w:ascii="Arial" w:hAnsi="Arial" w:cs="Arial"/>
          <w:bCs/>
          <w:i/>
          <w:color w:val="2E74B5" w:themeColor="accent1" w:themeShade="BF"/>
          <w:sz w:val="24"/>
          <w:szCs w:val="24"/>
        </w:rPr>
        <w:t>SHEIN</w:t>
      </w:r>
      <w:r>
        <w:rPr>
          <w:rFonts w:ascii="Arial" w:hAnsi="Arial" w:cs="Arial"/>
          <w:bCs/>
          <w:color w:val="2E74B5" w:themeColor="accent1" w:themeShade="BF"/>
          <w:sz w:val="24"/>
          <w:szCs w:val="24"/>
        </w:rPr>
        <w:t xml:space="preserve"> u otras similares” generaba redundancia en la lectura del cuestionario. Como resultado, se realizaron ajustes orientados a simplificar la redacción de los ítems y reducir repeticiones innecesarias sin afectar la estructura conceptual del instrumento.</w:t>
      </w:r>
    </w:p>
    <w:p w14:paraId="5E863405" w14:textId="77777777" w:rsidR="00653A61" w:rsidRDefault="00653A61">
      <w:pPr>
        <w:jc w:val="both"/>
        <w:rPr>
          <w:rFonts w:ascii="Arial" w:hAnsi="Arial" w:cs="Arial"/>
          <w:bCs/>
          <w:color w:val="2E74B5" w:themeColor="accent1" w:themeShade="BF"/>
          <w:sz w:val="24"/>
          <w:szCs w:val="24"/>
        </w:rPr>
      </w:pPr>
    </w:p>
    <w:p w14:paraId="5D868BAA"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Posteriormente, se realizó un análisis preliminar de fiabilidad mediante el coeficiente alfa de Cronbach (se verificó la pertinencia conceptual de los ítems para evitar redundancia) utilizando el software IBM SPSS </w:t>
      </w:r>
      <w:proofErr w:type="spellStart"/>
      <w:r>
        <w:rPr>
          <w:rFonts w:ascii="Arial" w:hAnsi="Arial" w:cs="Arial"/>
          <w:bCs/>
          <w:color w:val="2E74B5" w:themeColor="accent1" w:themeShade="BF"/>
          <w:sz w:val="24"/>
          <w:szCs w:val="24"/>
        </w:rPr>
        <w:t>Statistics</w:t>
      </w:r>
      <w:proofErr w:type="spellEnd"/>
      <w:r>
        <w:rPr>
          <w:rFonts w:ascii="Arial" w:hAnsi="Arial" w:cs="Arial"/>
          <w:bCs/>
          <w:color w:val="2E74B5" w:themeColor="accent1" w:themeShade="BF"/>
          <w:sz w:val="24"/>
          <w:szCs w:val="24"/>
        </w:rPr>
        <w:t>. El análisis se efectuó sobre 20 casos válidos y permitió obtener un alfa de Cronbach de 0,931 para un total inicial de 19 ítems, resultado que evidencia una adecuada consistencia interna preliminar del instrumento.</w:t>
      </w:r>
    </w:p>
    <w:p w14:paraId="0DA8EF86" w14:textId="77777777" w:rsidR="00653A61" w:rsidRDefault="00653A61">
      <w:pPr>
        <w:jc w:val="center"/>
        <w:rPr>
          <w:rFonts w:ascii="Arial" w:hAnsi="Arial" w:cs="Arial"/>
          <w:color w:val="2E74B5" w:themeColor="accent1" w:themeShade="BF"/>
          <w:sz w:val="24"/>
          <w:szCs w:val="24"/>
        </w:rPr>
      </w:pPr>
    </w:p>
    <w:p w14:paraId="24F99756"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Tabla 4: Estadísticas de total de ítems y consistencia interna del pre - test</w:t>
      </w:r>
    </w:p>
    <w:p w14:paraId="162F85CD" w14:textId="77777777" w:rsidR="00653A61" w:rsidRDefault="00653A61">
      <w:pPr>
        <w:jc w:val="both"/>
        <w:rPr>
          <w:rFonts w:ascii="Arial" w:hAnsi="Arial" w:cs="Arial"/>
          <w:bCs/>
          <w:color w:val="2E74B5" w:themeColor="accent1" w:themeShade="BF"/>
          <w:sz w:val="24"/>
          <w:szCs w:val="24"/>
        </w:rPr>
      </w:pPr>
    </w:p>
    <w:tbl>
      <w:tblPr>
        <w:tblW w:w="9163" w:type="dxa"/>
        <w:tblInd w:w="11" w:type="dxa"/>
        <w:tblLayout w:type="fixed"/>
        <w:tblCellMar>
          <w:left w:w="10" w:type="dxa"/>
          <w:right w:w="10" w:type="dxa"/>
        </w:tblCellMar>
        <w:tblLook w:val="04A0" w:firstRow="1" w:lastRow="0" w:firstColumn="1" w:lastColumn="0" w:noHBand="0" w:noVBand="1"/>
      </w:tblPr>
      <w:tblGrid>
        <w:gridCol w:w="832"/>
        <w:gridCol w:w="1665"/>
        <w:gridCol w:w="1666"/>
        <w:gridCol w:w="1668"/>
        <w:gridCol w:w="1666"/>
        <w:gridCol w:w="1666"/>
      </w:tblGrid>
      <w:tr w:rsidR="00653A61" w14:paraId="2A08890B" w14:textId="77777777">
        <w:tc>
          <w:tcPr>
            <w:tcW w:w="9163" w:type="dxa"/>
            <w:gridSpan w:val="6"/>
            <w:tcBorders>
              <w:top w:val="double" w:sz="2" w:space="0" w:color="5B9BD5"/>
              <w:left w:val="double" w:sz="2" w:space="0" w:color="5B9BD5"/>
              <w:bottom w:val="double" w:sz="2" w:space="0" w:color="5B9BD5"/>
              <w:right w:val="double" w:sz="2" w:space="0" w:color="5B9BD5"/>
            </w:tcBorders>
            <w:shd w:val="clear" w:color="auto" w:fill="FFFFFF"/>
            <w:vAlign w:val="center"/>
          </w:tcPr>
          <w:p w14:paraId="382CCEDB" w14:textId="77777777" w:rsidR="00653A61" w:rsidRDefault="00563720">
            <w:pPr>
              <w:spacing w:before="5" w:after="30"/>
              <w:ind w:left="30" w:right="40"/>
              <w:jc w:val="center"/>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Estadísticas de total de elemento</w:t>
            </w:r>
          </w:p>
        </w:tc>
      </w:tr>
      <w:tr w:rsidR="00653A61" w14:paraId="5DD02AEE" w14:textId="77777777">
        <w:tc>
          <w:tcPr>
            <w:tcW w:w="832" w:type="dxa"/>
            <w:tcBorders>
              <w:top w:val="double" w:sz="2" w:space="0" w:color="5B9BD5"/>
              <w:left w:val="double" w:sz="2" w:space="0" w:color="5B9BD5"/>
              <w:bottom w:val="double" w:sz="2" w:space="0" w:color="5B9BD5"/>
              <w:right w:val="double" w:sz="2" w:space="0" w:color="5B9BD5"/>
            </w:tcBorders>
            <w:shd w:val="clear" w:color="auto" w:fill="FFFFFF"/>
            <w:vAlign w:val="bottom"/>
          </w:tcPr>
          <w:p w14:paraId="247E2A8A" w14:textId="77777777" w:rsidR="00653A61" w:rsidRDefault="00653A61">
            <w:pPr>
              <w:spacing w:before="15" w:after="5"/>
              <w:ind w:left="30" w:right="40"/>
              <w:rPr>
                <w:rFonts w:ascii="Arial" w:hAnsi="Arial" w:cs="Arial"/>
                <w:bCs/>
                <w:color w:val="2E74B5" w:themeColor="accent1" w:themeShade="BF"/>
                <w:sz w:val="24"/>
                <w:szCs w:val="24"/>
              </w:rPr>
            </w:pPr>
          </w:p>
        </w:tc>
        <w:tc>
          <w:tcPr>
            <w:tcW w:w="1665" w:type="dxa"/>
            <w:tcBorders>
              <w:top w:val="double" w:sz="2" w:space="0" w:color="5B9BD5"/>
              <w:left w:val="double" w:sz="2" w:space="0" w:color="5B9BD5"/>
              <w:bottom w:val="double" w:sz="2" w:space="0" w:color="5B9BD5"/>
              <w:right w:val="double" w:sz="2" w:space="0" w:color="5B9BD5"/>
            </w:tcBorders>
            <w:shd w:val="clear" w:color="auto" w:fill="FFFFFF"/>
            <w:vAlign w:val="bottom"/>
          </w:tcPr>
          <w:p w14:paraId="1732A4CF" w14:textId="77777777" w:rsidR="00653A61" w:rsidRDefault="00563720">
            <w:pPr>
              <w:spacing w:before="10" w:after="10"/>
              <w:ind w:left="30" w:right="40"/>
              <w:jc w:val="center"/>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Media de escala si el elemento se ha suprimido</w:t>
            </w:r>
          </w:p>
        </w:tc>
        <w:tc>
          <w:tcPr>
            <w:tcW w:w="1666" w:type="dxa"/>
            <w:tcBorders>
              <w:top w:val="double" w:sz="2" w:space="0" w:color="5B9BD5"/>
              <w:left w:val="double" w:sz="2" w:space="0" w:color="5B9BD5"/>
              <w:bottom w:val="double" w:sz="2" w:space="0" w:color="5B9BD5"/>
              <w:right w:val="double" w:sz="2" w:space="0" w:color="5B9BD5"/>
            </w:tcBorders>
            <w:shd w:val="clear" w:color="auto" w:fill="FFFFFF"/>
            <w:vAlign w:val="bottom"/>
          </w:tcPr>
          <w:p w14:paraId="0CE96747" w14:textId="77777777" w:rsidR="00653A61" w:rsidRDefault="00563720">
            <w:pPr>
              <w:spacing w:before="10" w:after="10"/>
              <w:ind w:left="30" w:right="40"/>
              <w:jc w:val="center"/>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Varianza de escala si el elemento se ha suprimido</w:t>
            </w:r>
          </w:p>
        </w:tc>
        <w:tc>
          <w:tcPr>
            <w:tcW w:w="1668" w:type="dxa"/>
            <w:tcBorders>
              <w:top w:val="double" w:sz="2" w:space="0" w:color="5B9BD5"/>
              <w:left w:val="double" w:sz="2" w:space="0" w:color="5B9BD5"/>
              <w:bottom w:val="double" w:sz="2" w:space="0" w:color="5B9BD5"/>
              <w:right w:val="double" w:sz="2" w:space="0" w:color="5B9BD5"/>
            </w:tcBorders>
            <w:shd w:val="clear" w:color="auto" w:fill="FFFFFF"/>
            <w:vAlign w:val="bottom"/>
          </w:tcPr>
          <w:p w14:paraId="712BCC9B" w14:textId="77777777" w:rsidR="00653A61" w:rsidRDefault="00563720">
            <w:pPr>
              <w:spacing w:before="10" w:after="10"/>
              <w:ind w:left="30" w:right="40"/>
              <w:jc w:val="center"/>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Correlación total de elementos corregida</w:t>
            </w:r>
          </w:p>
        </w:tc>
        <w:tc>
          <w:tcPr>
            <w:tcW w:w="1666" w:type="dxa"/>
            <w:tcBorders>
              <w:top w:val="double" w:sz="2" w:space="0" w:color="5B9BD5"/>
              <w:left w:val="double" w:sz="2" w:space="0" w:color="5B9BD5"/>
              <w:bottom w:val="double" w:sz="2" w:space="0" w:color="5B9BD5"/>
              <w:right w:val="double" w:sz="2" w:space="0" w:color="5B9BD5"/>
            </w:tcBorders>
            <w:shd w:val="clear" w:color="auto" w:fill="FFFFFF"/>
            <w:vAlign w:val="bottom"/>
          </w:tcPr>
          <w:p w14:paraId="385550E4" w14:textId="77777777" w:rsidR="00653A61" w:rsidRDefault="00563720">
            <w:pPr>
              <w:spacing w:before="10" w:after="10"/>
              <w:ind w:left="30" w:right="40"/>
              <w:jc w:val="center"/>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Correlación múltiple al cuadrado</w:t>
            </w:r>
          </w:p>
        </w:tc>
        <w:tc>
          <w:tcPr>
            <w:tcW w:w="1666" w:type="dxa"/>
            <w:tcBorders>
              <w:top w:val="double" w:sz="2" w:space="0" w:color="5B9BD5"/>
              <w:left w:val="double" w:sz="2" w:space="0" w:color="5B9BD5"/>
              <w:bottom w:val="double" w:sz="2" w:space="0" w:color="5B9BD5"/>
              <w:right w:val="double" w:sz="2" w:space="0" w:color="5B9BD5"/>
            </w:tcBorders>
            <w:shd w:val="clear" w:color="auto" w:fill="FFFFFF"/>
            <w:vAlign w:val="bottom"/>
          </w:tcPr>
          <w:p w14:paraId="3C0D1AF6" w14:textId="77777777" w:rsidR="00653A61" w:rsidRDefault="00563720">
            <w:pPr>
              <w:spacing w:before="10" w:after="10"/>
              <w:ind w:left="30" w:right="40"/>
              <w:jc w:val="center"/>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Alfa de Cronbach si el elemento se ha suprimido</w:t>
            </w:r>
          </w:p>
        </w:tc>
      </w:tr>
      <w:tr w:rsidR="00653A61" w14:paraId="1EA372FD"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160BC4F4"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VE1</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5C8F8BF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58,70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9F9A64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126,747</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496D9F74"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,755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D8B09EC"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A0861FA"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,925</w:t>
            </w:r>
          </w:p>
        </w:tc>
      </w:tr>
      <w:tr w:rsidR="00653A61" w14:paraId="60665203"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7F7F0C1A"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VE2</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48004A7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58,90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4E367FCA"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129,989</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1BD1552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,634</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48BD95A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C2346F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,927</w:t>
            </w:r>
          </w:p>
        </w:tc>
      </w:tr>
      <w:tr w:rsidR="00653A61" w14:paraId="35EA85D8"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50652697"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lastRenderedPageBreak/>
              <w:t>VE3</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53863F1A"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58,75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02FB6E3"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128,829</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218818A1"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,642</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7D259D1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70996CA"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,927</w:t>
            </w:r>
          </w:p>
        </w:tc>
      </w:tr>
      <w:tr w:rsidR="00653A61" w14:paraId="67B4D918"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011D8DBC"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VE4</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65D305B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58,70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B901673"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131,379</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11BA2993"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,613</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DD9A02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0E2CBE5"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,928</w:t>
            </w:r>
          </w:p>
        </w:tc>
      </w:tr>
      <w:tr w:rsidR="00653A61" w14:paraId="38292F84"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1FF963CF"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AE1</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3D76B9D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58,95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EC53FE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127,734</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403275D6"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,770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ADF6D8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87AC01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,925</w:t>
            </w:r>
          </w:p>
        </w:tc>
      </w:tr>
      <w:tr w:rsidR="00653A61" w14:paraId="6A0EE088"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1F10B505"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AE2</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5EFD4107"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59,55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34B49CE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129,734</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0FF54C2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,577</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50781B8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AC531A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,928</w:t>
            </w:r>
          </w:p>
        </w:tc>
      </w:tr>
      <w:tr w:rsidR="00653A61" w14:paraId="546287B4"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57C8ADD4"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AE3</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48C1717C"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59,20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402B893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125,221</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613C2E1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,562</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5CC209A4"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AF8C321"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,930</w:t>
            </w:r>
          </w:p>
        </w:tc>
      </w:tr>
      <w:tr w:rsidR="00653A61" w14:paraId="701C6EA1"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62FCDF80"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AE4</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1A172CE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59,25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622A05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125,776</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796DFE32"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,665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BBDC724"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A8D770A"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,926</w:t>
            </w:r>
          </w:p>
        </w:tc>
      </w:tr>
      <w:tr w:rsidR="00653A61" w14:paraId="3213D726"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0DCD18F1"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ED1</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1042922C"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58,90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4EE536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125,674</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2603C50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,813</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79AA997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0CEA16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,923</w:t>
            </w:r>
          </w:p>
        </w:tc>
      </w:tr>
      <w:tr w:rsidR="00653A61" w14:paraId="50AAE8C3"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3E318CA5"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ED2</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0DED667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59,15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781AD5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123,397</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74E4AE76"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,742</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405D15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E3DB73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,924</w:t>
            </w:r>
          </w:p>
        </w:tc>
      </w:tr>
      <w:tr w:rsidR="00653A61" w14:paraId="6BA24DBD"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47B05FC6"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ED3</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54570E16"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58,80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AC4560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129,537</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49263EC9"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,654</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5B438DD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49A575BA"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,927</w:t>
            </w:r>
          </w:p>
        </w:tc>
      </w:tr>
      <w:tr w:rsidR="00653A61" w14:paraId="6991A541"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4C8D3E73"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ED4</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61A1A61B"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58,85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16E3BF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129,818</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4CFF4A9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,702</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78DE9212"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D96B45A"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,926</w:t>
            </w:r>
          </w:p>
        </w:tc>
      </w:tr>
      <w:tr w:rsidR="00653A61" w14:paraId="6B90EB7B"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137D902C"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CC1</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5310AE7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59,10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4202EEB1"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129,463</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058BCAC1"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,715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5EEE086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CC563C2"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,926</w:t>
            </w:r>
          </w:p>
        </w:tc>
      </w:tr>
      <w:tr w:rsidR="00653A61" w14:paraId="428BB593"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31A6BE01"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CC2</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64D3EAA0"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58,70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30DCFA2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130,747</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287597F1"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,592</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4252AFF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7936B35B"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,928</w:t>
            </w:r>
          </w:p>
        </w:tc>
      </w:tr>
      <w:tr w:rsidR="00653A61" w14:paraId="01D8519B"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04C1AAA3"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CC3</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14BBE7B7"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59,35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7B50950"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124,766</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4732ED85"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,711</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7CEEEA5"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28A5F5E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,925</w:t>
            </w:r>
          </w:p>
        </w:tc>
      </w:tr>
      <w:tr w:rsidR="00653A61" w14:paraId="6FFAF0EE"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62BF45E1"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CC4</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5EE8A6C6"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59,25</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E52E933"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125,987</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6DC91940"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,622</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56DA9047"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9DDE084"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,927</w:t>
            </w:r>
          </w:p>
        </w:tc>
      </w:tr>
      <w:tr w:rsidR="00653A61" w14:paraId="37343F45"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08F9D785"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PL1</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73CDC2EF"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59,30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37BC3ED0"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122,537</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4BC2924B"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,753</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02733432"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8A619B0"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,924</w:t>
            </w:r>
          </w:p>
        </w:tc>
      </w:tr>
      <w:tr w:rsidR="00653A61" w14:paraId="303FA911"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6A6C0BBC"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PL2</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4E0B2B0D"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59,50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1D7F5FF3"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128,158</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3A90B908"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,671</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5D1733E2"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5E2E45FB"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,926</w:t>
            </w:r>
          </w:p>
        </w:tc>
      </w:tr>
      <w:tr w:rsidR="00653A61" w14:paraId="312112FD" w14:textId="77777777">
        <w:tc>
          <w:tcPr>
            <w:tcW w:w="832" w:type="dxa"/>
            <w:tcBorders>
              <w:top w:val="double" w:sz="2" w:space="0" w:color="5B9BD5"/>
              <w:left w:val="double" w:sz="2" w:space="0" w:color="5B9BD5"/>
              <w:bottom w:val="double" w:sz="2" w:space="0" w:color="5B9BD5"/>
              <w:right w:val="double" w:sz="2" w:space="0" w:color="5B9BD5"/>
            </w:tcBorders>
            <w:shd w:val="clear" w:color="auto" w:fill="E0E0E0"/>
          </w:tcPr>
          <w:p w14:paraId="1545C6D2" w14:textId="77777777" w:rsidR="00653A61" w:rsidRDefault="00563720">
            <w:pPr>
              <w:spacing w:before="15" w:after="10"/>
              <w:ind w:left="30" w:right="40"/>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PL3</w:t>
            </w:r>
          </w:p>
        </w:tc>
        <w:tc>
          <w:tcPr>
            <w:tcW w:w="1665" w:type="dxa"/>
            <w:tcBorders>
              <w:top w:val="double" w:sz="2" w:space="0" w:color="5B9BD5"/>
              <w:left w:val="double" w:sz="2" w:space="0" w:color="5B9BD5"/>
              <w:bottom w:val="double" w:sz="2" w:space="0" w:color="5B9BD5"/>
              <w:right w:val="double" w:sz="2" w:space="0" w:color="5B9BD5"/>
            </w:tcBorders>
            <w:shd w:val="clear" w:color="auto" w:fill="F9F9FB"/>
          </w:tcPr>
          <w:p w14:paraId="30E9315E"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58,50</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7D17BD22"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144,474</w:t>
            </w:r>
          </w:p>
        </w:tc>
        <w:tc>
          <w:tcPr>
            <w:tcW w:w="1668" w:type="dxa"/>
            <w:tcBorders>
              <w:top w:val="double" w:sz="2" w:space="0" w:color="5B9BD5"/>
              <w:left w:val="double" w:sz="2" w:space="0" w:color="5B9BD5"/>
              <w:bottom w:val="double" w:sz="2" w:space="0" w:color="5B9BD5"/>
              <w:right w:val="double" w:sz="2" w:space="0" w:color="5B9BD5"/>
            </w:tcBorders>
            <w:shd w:val="clear" w:color="auto" w:fill="F9F9FB"/>
          </w:tcPr>
          <w:p w14:paraId="12BFC754"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-,122</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624E8C4C"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w:t>
            </w:r>
          </w:p>
        </w:tc>
        <w:tc>
          <w:tcPr>
            <w:tcW w:w="1666" w:type="dxa"/>
            <w:tcBorders>
              <w:top w:val="double" w:sz="2" w:space="0" w:color="5B9BD5"/>
              <w:left w:val="double" w:sz="2" w:space="0" w:color="5B9BD5"/>
              <w:bottom w:val="double" w:sz="2" w:space="0" w:color="5B9BD5"/>
              <w:right w:val="double" w:sz="2" w:space="0" w:color="5B9BD5"/>
            </w:tcBorders>
            <w:shd w:val="clear" w:color="auto" w:fill="F9F9FB"/>
          </w:tcPr>
          <w:p w14:paraId="7A6934F2" w14:textId="77777777" w:rsidR="00653A61" w:rsidRDefault="00563720">
            <w:pPr>
              <w:spacing w:before="15" w:after="10"/>
              <w:ind w:left="30" w:right="40"/>
              <w:jc w:val="right"/>
              <w:rPr>
                <w:rFonts w:ascii="Arial" w:hAnsi="Arial" w:cs="Arial"/>
                <w:bCs/>
                <w:color w:val="2E74B5" w:themeColor="accent1" w:themeShade="BF"/>
                <w:sz w:val="24"/>
                <w:szCs w:val="24"/>
              </w:rPr>
            </w:pPr>
            <w:r>
              <w:rPr>
                <w:rFonts w:ascii="Arial" w:eastAsia="Arial" w:hAnsi="Arial" w:cs="Arial"/>
                <w:bCs/>
                <w:color w:val="2E74B5" w:themeColor="accent1" w:themeShade="BF"/>
                <w:sz w:val="24"/>
                <w:szCs w:val="24"/>
              </w:rPr>
              <w:t>,943</w:t>
            </w:r>
          </w:p>
        </w:tc>
      </w:tr>
    </w:tbl>
    <w:p w14:paraId="031456C2" w14:textId="77777777" w:rsidR="005C7CE9" w:rsidRDefault="005C7CE9">
      <w:pPr>
        <w:jc w:val="both"/>
        <w:rPr>
          <w:rFonts w:ascii="Arial" w:hAnsi="Arial" w:cs="Arial"/>
          <w:b/>
          <w:bCs/>
          <w:color w:val="2E74B5" w:themeColor="accent1" w:themeShade="BF"/>
          <w:sz w:val="24"/>
          <w:szCs w:val="24"/>
        </w:rPr>
      </w:pPr>
    </w:p>
    <w:p w14:paraId="5CE23D1D" w14:textId="1C945F2F"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Fuente: </w:t>
      </w:r>
      <w:r>
        <w:rPr>
          <w:rFonts w:ascii="Arial" w:hAnsi="Arial" w:cs="Arial"/>
          <w:color w:val="2E74B5" w:themeColor="accent1" w:themeShade="BF"/>
          <w:sz w:val="24"/>
          <w:szCs w:val="24"/>
        </w:rPr>
        <w:t>Elaboración propia a partir de resultados obtenidos en SPSS.</w:t>
      </w:r>
    </w:p>
    <w:p w14:paraId="6E4F6D21" w14:textId="77777777" w:rsidR="00653A61" w:rsidRDefault="00653A61">
      <w:pPr>
        <w:jc w:val="both"/>
        <w:rPr>
          <w:rFonts w:ascii="Arial" w:hAnsi="Arial" w:cs="Arial"/>
          <w:color w:val="2E74B5" w:themeColor="accent1" w:themeShade="BF"/>
          <w:sz w:val="24"/>
          <w:szCs w:val="24"/>
        </w:rPr>
      </w:pPr>
    </w:p>
    <w:p w14:paraId="781A84E5"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No obstante, el análisis de correlación ítem total evidenció que el ítem PL3 presentaba una correlación negativa (-0,122), indicando falta de coherencia con el resto de la escala. Asimismo, se observó que la eliminación de este ítem incrementaba el valor del alfa general hasta 0,943, razón por la cual se decidió excluirlo del instrumento definitivo. Los demás ítems presentaron correlaciones adecuadas, superiores a 0,50, confirmando su aporte a la medición de los constructos analizados.</w:t>
      </w:r>
    </w:p>
    <w:p w14:paraId="2C69336A" w14:textId="77777777" w:rsidR="00653A61" w:rsidRDefault="00653A61">
      <w:pPr>
        <w:jc w:val="both"/>
        <w:rPr>
          <w:rFonts w:ascii="Arial" w:hAnsi="Arial" w:cs="Arial"/>
          <w:bCs/>
          <w:color w:val="2E74B5" w:themeColor="accent1" w:themeShade="BF"/>
          <w:sz w:val="24"/>
          <w:szCs w:val="24"/>
        </w:rPr>
      </w:pPr>
    </w:p>
    <w:p w14:paraId="5AE6247A"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A partir de los resultados obtenidos en la prueba piloto, se realizaron ajustes menores en la redacción y estructura de algunos ítems con el propósito de mejorar la claridad, reducir redundancias y optimizar la comprensión general del cuestionario. Como resultado de este proceso, el instrumento definitivo quedó conformado por 18 ítems de medición distribuidos en las dimensiones teóricas del estudio, 2 de filtro y 7 sociodemográficas.</w:t>
      </w:r>
    </w:p>
    <w:p w14:paraId="4A123449"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 </w:t>
      </w:r>
    </w:p>
    <w:p w14:paraId="77CBFF31" w14:textId="77777777" w:rsidR="005C7CE9" w:rsidRDefault="005C7CE9">
      <w:pPr>
        <w:jc w:val="both"/>
        <w:rPr>
          <w:rFonts w:ascii="Arial" w:hAnsi="Arial" w:cs="Arial"/>
          <w:b/>
          <w:color w:val="2E74B5" w:themeColor="accent1" w:themeShade="BF"/>
          <w:sz w:val="24"/>
          <w:szCs w:val="24"/>
        </w:rPr>
      </w:pPr>
    </w:p>
    <w:p w14:paraId="376CB7CD" w14:textId="6809F741"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lastRenderedPageBreak/>
        <w:t>2.7 Mecanismos de validez y rigor metodológico</w:t>
      </w:r>
    </w:p>
    <w:p w14:paraId="60D400CC" w14:textId="77777777" w:rsidR="00653A61" w:rsidRDefault="00653A61">
      <w:pPr>
        <w:jc w:val="both"/>
        <w:rPr>
          <w:rFonts w:ascii="Arial" w:hAnsi="Arial" w:cs="Arial"/>
          <w:bCs/>
          <w:color w:val="2E74B5" w:themeColor="accent1" w:themeShade="BF"/>
          <w:sz w:val="24"/>
          <w:szCs w:val="24"/>
        </w:rPr>
      </w:pPr>
    </w:p>
    <w:p w14:paraId="402F7D55"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Con el fin de garantizar la validez y el rigor del instrumento, se implementaron tres mecanismos sustentados en la revisión de literatura metodológica, el primero es la validez de contenido, el segundo es la confiabilidad del instrumento y el tercero es el rigor del trabajo de campo. </w:t>
      </w:r>
    </w:p>
    <w:p w14:paraId="78E7FCF1" w14:textId="77777777" w:rsidR="00653A61" w:rsidRDefault="00653A61">
      <w:pPr>
        <w:jc w:val="both"/>
        <w:rPr>
          <w:rFonts w:ascii="Arial" w:hAnsi="Arial" w:cs="Arial"/>
          <w:bCs/>
          <w:color w:val="2E74B5" w:themeColor="accent1" w:themeShade="BF"/>
          <w:sz w:val="24"/>
          <w:szCs w:val="24"/>
        </w:rPr>
      </w:pPr>
    </w:p>
    <w:p w14:paraId="76DFAC4C"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La validez de contenido se avaló mediante la selección y adaptación de ítems provenientes de escalas utilizadas y validadas en investigaciones previas, lo que permite garantizar que los indicadores representen adecuadamente las variables analizadas (Hernández-Sampieri &amp; Mendoza 2020).</w:t>
      </w:r>
    </w:p>
    <w:p w14:paraId="7DE1DE76" w14:textId="77777777" w:rsidR="00653A61" w:rsidRDefault="00653A61">
      <w:pPr>
        <w:jc w:val="both"/>
        <w:rPr>
          <w:rFonts w:ascii="Arial" w:hAnsi="Arial" w:cs="Arial"/>
          <w:bCs/>
          <w:color w:val="2E74B5" w:themeColor="accent1" w:themeShade="BF"/>
          <w:sz w:val="24"/>
          <w:szCs w:val="24"/>
        </w:rPr>
      </w:pPr>
    </w:p>
    <w:p w14:paraId="5D2042A3"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La confiabilidad del instrumento se validó a través del coeficiente alfa de Cronbach, ampliamente recomendado para escalas tipo Likert en estudios cuantitativos (Nunnally &amp; Bernstein 1994). Valores iguales o superiores a 0,70 se consideran aceptables para investigaciones sociales.</w:t>
      </w:r>
    </w:p>
    <w:p w14:paraId="39A9451A" w14:textId="77777777" w:rsidR="00653A61" w:rsidRDefault="00653A61">
      <w:pPr>
        <w:jc w:val="both"/>
        <w:rPr>
          <w:rFonts w:ascii="Arial" w:hAnsi="Arial" w:cs="Arial"/>
          <w:bCs/>
          <w:color w:val="2E74B5" w:themeColor="accent1" w:themeShade="BF"/>
          <w:sz w:val="24"/>
          <w:szCs w:val="24"/>
        </w:rPr>
      </w:pPr>
    </w:p>
    <w:p w14:paraId="2DCCC0C7"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El trabajo de campo se desarrolló mediante una encuesta digital estandarizada, aplicada de manera uniforme a todos los participantes, garantizando condiciones similares de respuesta. Asimismo, se respetaron los principios éticos de voluntariedad, anonimato y confidencialidad, conforme a las recomendaciones para investigaciones con sujetos personas (Hernández-Sampieri &amp; Mendoza 2020).</w:t>
      </w:r>
    </w:p>
    <w:p w14:paraId="230C4CF7" w14:textId="77777777" w:rsidR="00653A61" w:rsidRDefault="00653A61">
      <w:pPr>
        <w:jc w:val="both"/>
        <w:rPr>
          <w:rFonts w:ascii="Arial" w:hAnsi="Arial" w:cs="Arial"/>
          <w:bCs/>
          <w:color w:val="2E74B5" w:themeColor="accent1" w:themeShade="BF"/>
          <w:sz w:val="24"/>
          <w:szCs w:val="24"/>
        </w:rPr>
      </w:pPr>
    </w:p>
    <w:p w14:paraId="29F15BD3" w14:textId="77777777" w:rsidR="00653A61" w:rsidRDefault="00563720">
      <w:pPr>
        <w:jc w:val="both"/>
        <w:rPr>
          <w:rFonts w:ascii="Arial" w:hAnsi="Arial" w:cs="Arial"/>
          <w:b/>
          <w:color w:val="2E74B5" w:themeColor="accent1" w:themeShade="BF"/>
          <w:sz w:val="24"/>
          <w:szCs w:val="24"/>
        </w:rPr>
      </w:pPr>
      <w:r>
        <w:rPr>
          <w:rFonts w:ascii="Arial" w:hAnsi="Arial" w:cs="Arial"/>
          <w:b/>
          <w:color w:val="2E74B5" w:themeColor="accent1" w:themeShade="BF"/>
          <w:sz w:val="24"/>
          <w:szCs w:val="24"/>
        </w:rPr>
        <w:t>2.8 Procesamiento y análisis de la información</w:t>
      </w:r>
    </w:p>
    <w:p w14:paraId="2B5C7B0E" w14:textId="77777777" w:rsidR="00653A61" w:rsidRDefault="00653A61">
      <w:pPr>
        <w:jc w:val="both"/>
        <w:rPr>
          <w:rFonts w:ascii="Arial" w:hAnsi="Arial" w:cs="Arial"/>
          <w:bCs/>
          <w:color w:val="2E74B5" w:themeColor="accent1" w:themeShade="BF"/>
          <w:sz w:val="24"/>
          <w:szCs w:val="24"/>
        </w:rPr>
      </w:pPr>
    </w:p>
    <w:p w14:paraId="15E993EB"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Los datos recolectados fueron procesados y analizados mediante el software estadístico SPSS, herramienta ampliamente utilizada en investigaciones cuantitativas por su capacidad para gestionar, analizar y visualizar datos de forma robusta. El análisis de la información se realizó en las siguientes etapas:</w:t>
      </w:r>
    </w:p>
    <w:p w14:paraId="3CDC4AF4" w14:textId="77777777" w:rsidR="00653A61" w:rsidRDefault="00653A61">
      <w:pPr>
        <w:jc w:val="both"/>
        <w:rPr>
          <w:rFonts w:ascii="Arial" w:hAnsi="Arial" w:cs="Arial"/>
          <w:bCs/>
          <w:color w:val="2E74B5" w:themeColor="accent1" w:themeShade="BF"/>
          <w:sz w:val="24"/>
          <w:szCs w:val="24"/>
        </w:rPr>
      </w:pPr>
    </w:p>
    <w:p w14:paraId="6A344F66"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Depuración y codificación de datos, verificando la consistencia y completitud de las respuestas. Análisis correlacional, para caracterizar la muestra y las variables del estudio. Análisis de confiabilidad, mediante el cálculo del alfa de Cronbach para cada escala (se verificó la pertinencia conceptual de los ítems para evitar </w:t>
      </w:r>
      <w:r>
        <w:rPr>
          <w:rFonts w:ascii="Arial" w:hAnsi="Arial" w:cs="Arial"/>
          <w:bCs/>
          <w:color w:val="2E74B5" w:themeColor="accent1" w:themeShade="BF"/>
          <w:sz w:val="24"/>
          <w:szCs w:val="24"/>
        </w:rPr>
        <w:lastRenderedPageBreak/>
        <w:t>redundancia). Análisis correlacional, con el fin de evaluar la relación entre las variables y contrastar las hipótesis planteadas.</w:t>
      </w:r>
    </w:p>
    <w:p w14:paraId="73D6F74F" w14:textId="77777777" w:rsidR="00653A61" w:rsidRDefault="00653A61">
      <w:pPr>
        <w:jc w:val="both"/>
        <w:rPr>
          <w:rFonts w:ascii="Arial" w:hAnsi="Arial" w:cs="Arial"/>
          <w:bCs/>
          <w:color w:val="2E74B5" w:themeColor="accent1" w:themeShade="BF"/>
          <w:sz w:val="24"/>
          <w:szCs w:val="24"/>
        </w:rPr>
      </w:pPr>
    </w:p>
    <w:p w14:paraId="18DA8A30"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Este procedimiento permitió analizar de manera sistemática las relaciones entre las respuestas emocionales vinculadas a la experiencia digital, el comportamiento de compra y la preferencia por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o por marcas locales de moda, garantizando coherencia entre el diseño metodológico y los objetivos de la investigación.</w:t>
      </w:r>
    </w:p>
    <w:p w14:paraId="12F409EA" w14:textId="77777777" w:rsidR="00653A61" w:rsidRDefault="00653A61">
      <w:pPr>
        <w:rPr>
          <w:rFonts w:ascii="Arial" w:hAnsi="Arial" w:cs="Arial"/>
          <w:b/>
          <w:sz w:val="24"/>
          <w:szCs w:val="24"/>
        </w:rPr>
      </w:pPr>
    </w:p>
    <w:p w14:paraId="372D0B82" w14:textId="77777777" w:rsidR="00653A61" w:rsidRDefault="00563720">
      <w:pPr>
        <w:rPr>
          <w:rFonts w:ascii="Arial" w:hAnsi="Arial" w:cs="Arial"/>
          <w:b/>
          <w:color w:val="2E74B5" w:themeColor="accent1" w:themeShade="BF"/>
          <w:sz w:val="24"/>
          <w:szCs w:val="24"/>
        </w:rPr>
      </w:pPr>
      <w:r>
        <w:rPr>
          <w:rFonts w:ascii="Arial" w:hAnsi="Arial" w:cs="Arial"/>
          <w:b/>
          <w:color w:val="2E74B5" w:themeColor="accent1" w:themeShade="BF"/>
          <w:sz w:val="24"/>
          <w:szCs w:val="24"/>
        </w:rPr>
        <w:t>3.  RESULTADOS</w:t>
      </w:r>
    </w:p>
    <w:p w14:paraId="561F483A"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Con el propósito de analizar la relación entre las respuestas emocionales vinculadas a la experiencia digital y el comportamiento de compra en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se realizaron análisis descriptivos, prueba de fiabilidad y análisis factorial exploratorio sobre las escalas utilizadas en la investigación.</w:t>
      </w:r>
    </w:p>
    <w:p w14:paraId="0922B649" w14:textId="77777777" w:rsidR="00653A61" w:rsidRDefault="00653A61">
      <w:pPr>
        <w:jc w:val="both"/>
        <w:rPr>
          <w:rFonts w:ascii="Arial" w:hAnsi="Arial" w:cs="Arial"/>
          <w:bCs/>
          <w:color w:val="2E74B5" w:themeColor="accent1" w:themeShade="BF"/>
          <w:sz w:val="24"/>
          <w:szCs w:val="24"/>
        </w:rPr>
      </w:pPr>
    </w:p>
    <w:p w14:paraId="1615DB47" w14:textId="77777777" w:rsidR="00653A61" w:rsidRDefault="00563720">
      <w:pPr>
        <w:rPr>
          <w:rFonts w:ascii="Arial" w:hAnsi="Arial" w:cs="Arial"/>
          <w:b/>
          <w:color w:val="2E74B5" w:themeColor="accent1" w:themeShade="BF"/>
          <w:sz w:val="24"/>
          <w:szCs w:val="24"/>
        </w:rPr>
      </w:pPr>
      <w:r>
        <w:rPr>
          <w:rFonts w:ascii="Arial" w:hAnsi="Arial" w:cs="Arial"/>
          <w:b/>
          <w:color w:val="2E74B5" w:themeColor="accent1" w:themeShade="BF"/>
          <w:sz w:val="24"/>
          <w:szCs w:val="24"/>
        </w:rPr>
        <w:t xml:space="preserve">3.1 Depuración de la muestra </w:t>
      </w:r>
    </w:p>
    <w:p w14:paraId="5F89F986" w14:textId="77777777" w:rsidR="00653A61" w:rsidRDefault="00653A61">
      <w:pPr>
        <w:jc w:val="both"/>
        <w:rPr>
          <w:rFonts w:ascii="Arial" w:hAnsi="Arial" w:cs="Arial"/>
          <w:bCs/>
          <w:color w:val="2E74B5" w:themeColor="accent1" w:themeShade="BF"/>
          <w:sz w:val="24"/>
          <w:szCs w:val="24"/>
        </w:rPr>
      </w:pPr>
    </w:p>
    <w:p w14:paraId="4B367580"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La aplicación del instrumento permitió obtener inicialmente 435 respuestas a través del cuestionario digital dirigido a jóvenes bogotanos entre 18 y 28 años con experiencia de compra en plataformas digitales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No obstante, para efectos del procesamiento estadístico y con el fin de garantizar la calidad y consistencia de la información recolectada, se realizó un proceso de revisión, validación y depuración de la base de datos.</w:t>
      </w:r>
    </w:p>
    <w:p w14:paraId="034697F4" w14:textId="77777777" w:rsidR="00653A61" w:rsidRDefault="00653A61">
      <w:pPr>
        <w:jc w:val="both"/>
        <w:rPr>
          <w:rFonts w:ascii="Arial" w:hAnsi="Arial" w:cs="Arial"/>
          <w:bCs/>
          <w:color w:val="2E74B5" w:themeColor="accent1" w:themeShade="BF"/>
          <w:sz w:val="24"/>
          <w:szCs w:val="24"/>
        </w:rPr>
      </w:pPr>
    </w:p>
    <w:p w14:paraId="4640270F"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En primer lugar, se estableció una fecha de corte para el cierre y consolidación definitiva de las respuestas obtenidas. Posteriormente, se verificó el cumplimiento de los criterios de inclusión previamente definidos para la investigación, así como la integridad de los registros diligenciados por los participantes.</w:t>
      </w:r>
    </w:p>
    <w:p w14:paraId="262745DE" w14:textId="77777777" w:rsidR="00653A61" w:rsidRDefault="00653A61">
      <w:pPr>
        <w:jc w:val="both"/>
        <w:rPr>
          <w:rFonts w:ascii="Arial" w:hAnsi="Arial" w:cs="Arial"/>
          <w:bCs/>
          <w:color w:val="2E74B5" w:themeColor="accent1" w:themeShade="BF"/>
          <w:sz w:val="24"/>
          <w:szCs w:val="24"/>
        </w:rPr>
      </w:pPr>
    </w:p>
    <w:p w14:paraId="4BB010D7"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 xml:space="preserve">Durante este proceso se excluyeron 20 respuestas que se encontraban fuera del tiempo máximo establecido para la consolidación de la base y, por tanto, no fueron consideradas para el análisis estadístico. Asimismo, se eliminaron 42 respuestas correspondientes a participantes que indicaron no haber realizado compras en plataformas de </w:t>
      </w:r>
      <w:proofErr w:type="spellStart"/>
      <w:r>
        <w:rPr>
          <w:rFonts w:ascii="Arial" w:hAnsi="Arial" w:cs="Arial"/>
          <w:bCs/>
          <w:i/>
          <w:color w:val="2E74B5" w:themeColor="accent1" w:themeShade="BF"/>
          <w:sz w:val="24"/>
          <w:szCs w:val="24"/>
        </w:rPr>
        <w:t>fast</w:t>
      </w:r>
      <w:proofErr w:type="spellEnd"/>
      <w:r>
        <w:rPr>
          <w:rFonts w:ascii="Arial" w:hAnsi="Arial" w:cs="Arial"/>
          <w:bCs/>
          <w:i/>
          <w:color w:val="2E74B5" w:themeColor="accent1" w:themeShade="BF"/>
          <w:sz w:val="24"/>
          <w:szCs w:val="24"/>
        </w:rPr>
        <w:t xml:space="preserve"> </w:t>
      </w:r>
      <w:proofErr w:type="spellStart"/>
      <w:r>
        <w:rPr>
          <w:rFonts w:ascii="Arial" w:hAnsi="Arial" w:cs="Arial"/>
          <w:bCs/>
          <w:i/>
          <w:color w:val="2E74B5" w:themeColor="accent1" w:themeShade="BF"/>
          <w:sz w:val="24"/>
          <w:szCs w:val="24"/>
        </w:rPr>
        <w:t>fashion</w:t>
      </w:r>
      <w:proofErr w:type="spellEnd"/>
      <w:r>
        <w:rPr>
          <w:rFonts w:ascii="Arial" w:hAnsi="Arial" w:cs="Arial"/>
          <w:bCs/>
          <w:color w:val="2E74B5" w:themeColor="accent1" w:themeShade="BF"/>
          <w:sz w:val="24"/>
          <w:szCs w:val="24"/>
        </w:rPr>
        <w:t xml:space="preserve">, debido a que no cumplían con el criterio principal de inclusión establecido para el estudio. </w:t>
      </w:r>
    </w:p>
    <w:p w14:paraId="3C82F4FA" w14:textId="77777777" w:rsidR="00653A61" w:rsidRDefault="00653A61">
      <w:pPr>
        <w:jc w:val="both"/>
        <w:rPr>
          <w:rFonts w:ascii="Arial" w:hAnsi="Arial" w:cs="Arial"/>
          <w:bCs/>
          <w:color w:val="2E74B5" w:themeColor="accent1" w:themeShade="BF"/>
          <w:sz w:val="24"/>
          <w:szCs w:val="24"/>
        </w:rPr>
      </w:pPr>
    </w:p>
    <w:p w14:paraId="06FCF1BE"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Finalmente, se excluyeron 3 registros de participantes que no autorizaron el tratamiento académico de la información suministrada. Como resultado del proceso de depuración y validación de la base de datos, la muestra final utilizada para el desarrollo del estudio quedó conformada por 370.</w:t>
      </w:r>
    </w:p>
    <w:p w14:paraId="30D2AE1D" w14:textId="77777777" w:rsidR="00653A61" w:rsidRDefault="00653A61">
      <w:pPr>
        <w:jc w:val="both"/>
        <w:rPr>
          <w:rFonts w:ascii="Arial" w:hAnsi="Arial" w:cs="Arial"/>
          <w:bCs/>
          <w:color w:val="2E74B5" w:themeColor="accent1" w:themeShade="BF"/>
          <w:sz w:val="24"/>
          <w:szCs w:val="24"/>
        </w:rPr>
      </w:pPr>
    </w:p>
    <w:p w14:paraId="1D6E48D5" w14:textId="77777777" w:rsidR="00653A61" w:rsidRDefault="00563720">
      <w:pPr>
        <w:jc w:val="both"/>
        <w:rPr>
          <w:rFonts w:ascii="Arial" w:hAnsi="Arial" w:cs="Arial"/>
          <w:bCs/>
          <w:color w:val="2E74B5" w:themeColor="accent1" w:themeShade="BF"/>
          <w:sz w:val="24"/>
          <w:szCs w:val="24"/>
        </w:rPr>
      </w:pPr>
      <w:r>
        <w:rPr>
          <w:rFonts w:ascii="Arial" w:hAnsi="Arial" w:cs="Arial"/>
          <w:bCs/>
          <w:color w:val="2E74B5" w:themeColor="accent1" w:themeShade="BF"/>
          <w:sz w:val="24"/>
          <w:szCs w:val="24"/>
        </w:rPr>
        <w:t>Aunque la aplicación del instrumento permitió recolectar inicialmente 370 respuestas, durante el procesamiento estadístico se identificó un registro con datos incompletos en una o más variables incluidas en los análisis multivariados. Debido a ello, el software SPSS aplicó el procedimiento de eliminación por lista (</w:t>
      </w:r>
      <w:proofErr w:type="spellStart"/>
      <w:r>
        <w:rPr>
          <w:rFonts w:ascii="Arial" w:hAnsi="Arial" w:cs="Arial"/>
          <w:bCs/>
          <w:color w:val="2E74B5" w:themeColor="accent1" w:themeShade="BF"/>
          <w:sz w:val="24"/>
          <w:szCs w:val="24"/>
        </w:rPr>
        <w:t>listwise</w:t>
      </w:r>
      <w:proofErr w:type="spellEnd"/>
      <w:r>
        <w:rPr>
          <w:rFonts w:ascii="Arial" w:hAnsi="Arial" w:cs="Arial"/>
          <w:bCs/>
          <w:color w:val="2E74B5" w:themeColor="accent1" w:themeShade="BF"/>
          <w:sz w:val="24"/>
          <w:szCs w:val="24"/>
        </w:rPr>
        <w:t xml:space="preserve"> </w:t>
      </w:r>
      <w:proofErr w:type="spellStart"/>
      <w:r>
        <w:rPr>
          <w:rFonts w:ascii="Arial" w:hAnsi="Arial" w:cs="Arial"/>
          <w:bCs/>
          <w:color w:val="2E74B5" w:themeColor="accent1" w:themeShade="BF"/>
          <w:sz w:val="24"/>
          <w:szCs w:val="24"/>
        </w:rPr>
        <w:t>deletion</w:t>
      </w:r>
      <w:proofErr w:type="spellEnd"/>
      <w:r>
        <w:rPr>
          <w:rFonts w:ascii="Arial" w:hAnsi="Arial" w:cs="Arial"/>
          <w:bCs/>
          <w:color w:val="2E74B5" w:themeColor="accent1" w:themeShade="BF"/>
          <w:sz w:val="24"/>
          <w:szCs w:val="24"/>
        </w:rPr>
        <w:t>), utilizando únicamente los casos con información válida en todos los ítems analizados. En consecuencia, los análisis de fiabilidad y análisis factorial se realizaron con una muestra final de 369 casos válidos.</w:t>
      </w:r>
    </w:p>
    <w:p w14:paraId="2AECD2FF" w14:textId="77777777" w:rsidR="00653A61" w:rsidRDefault="00653A61">
      <w:pPr>
        <w:rPr>
          <w:rFonts w:ascii="Arial" w:hAnsi="Arial" w:cs="Arial"/>
          <w:bCs/>
          <w:color w:val="2E74B5" w:themeColor="accent1" w:themeShade="BF"/>
          <w:sz w:val="24"/>
          <w:szCs w:val="24"/>
        </w:rPr>
      </w:pPr>
    </w:p>
    <w:p w14:paraId="5A673C47" w14:textId="77777777" w:rsidR="00653A61" w:rsidRDefault="00563720">
      <w:pPr>
        <w:rPr>
          <w:rFonts w:ascii="Arial" w:hAnsi="Arial" w:cs="Arial"/>
          <w:b/>
          <w:color w:val="2E74B5" w:themeColor="accent1" w:themeShade="BF"/>
          <w:sz w:val="24"/>
          <w:szCs w:val="24"/>
        </w:rPr>
      </w:pPr>
      <w:r>
        <w:rPr>
          <w:rFonts w:ascii="Arial" w:hAnsi="Arial" w:cs="Arial"/>
          <w:b/>
          <w:bCs/>
          <w:color w:val="2E74B5" w:themeColor="accent1" w:themeShade="BF"/>
          <w:sz w:val="24"/>
          <w:szCs w:val="24"/>
        </w:rPr>
        <w:t>3.2 Análisis descriptivo de la muestra</w:t>
      </w:r>
    </w:p>
    <w:p w14:paraId="4580601C" w14:textId="77777777" w:rsidR="00653A61" w:rsidRDefault="00653A61">
      <w:pPr>
        <w:jc w:val="both"/>
        <w:rPr>
          <w:rFonts w:ascii="Arial" w:hAnsi="Arial" w:cs="Arial"/>
          <w:color w:val="2E74B5" w:themeColor="accent1" w:themeShade="BF"/>
          <w:sz w:val="24"/>
          <w:szCs w:val="24"/>
        </w:rPr>
      </w:pPr>
    </w:p>
    <w:p w14:paraId="68F3F6B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Como se mencionó anteriormente, en esta primera fase del análisis se presentan los resultados correspondientes a la caracterización general de la muestra, conformada por jóvenes bogotanos entre 18 y 28 años con experiencia de compra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724D0E44" w14:textId="77777777" w:rsidR="00653A61" w:rsidRDefault="00653A61">
      <w:pPr>
        <w:jc w:val="both"/>
        <w:rPr>
          <w:rFonts w:ascii="Arial" w:hAnsi="Arial" w:cs="Arial"/>
          <w:color w:val="2E74B5" w:themeColor="accent1" w:themeShade="BF"/>
          <w:sz w:val="24"/>
          <w:szCs w:val="24"/>
        </w:rPr>
      </w:pPr>
    </w:p>
    <w:p w14:paraId="1129389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 esta forma, los datos de clasificación incluidos en el cuestionario permitieron identificar algunas variables sociodemográficas relevantes para la investigación, tales como la edad, el género, el nivel educativo alcanzado, la ocupación, los ingresos, la estratificación y los aspectos relacionados con la experiencia de interacción y compra en plataformas digitales.</w:t>
      </w:r>
    </w:p>
    <w:p w14:paraId="756CFCA7" w14:textId="77777777" w:rsidR="00653A61" w:rsidRDefault="00653A61">
      <w:pPr>
        <w:jc w:val="both"/>
        <w:rPr>
          <w:rFonts w:ascii="Arial" w:hAnsi="Arial" w:cs="Arial"/>
          <w:color w:val="2E74B5" w:themeColor="accent1" w:themeShade="BF"/>
          <w:sz w:val="24"/>
          <w:szCs w:val="24"/>
        </w:rPr>
      </w:pPr>
    </w:p>
    <w:p w14:paraId="71257FE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La recolección de la información se realizó a través de la aplicación de un cuestionario digital distribuido a jóvenes residentes en Bogotá que cumplían con los criterios de inclusión establecidos para el estudio. Posteriormente, a partir del proceso de depuración y validación de la base de datos, se consolidó la muestra definitiva utilizada para el análisis estadístico.</w:t>
      </w:r>
    </w:p>
    <w:p w14:paraId="46A9078E" w14:textId="77777777" w:rsidR="00653A61" w:rsidRDefault="00653A61">
      <w:pPr>
        <w:jc w:val="both"/>
        <w:rPr>
          <w:rFonts w:ascii="Arial" w:hAnsi="Arial" w:cs="Arial"/>
          <w:color w:val="2E74B5" w:themeColor="accent1" w:themeShade="BF"/>
          <w:sz w:val="24"/>
          <w:szCs w:val="24"/>
        </w:rPr>
      </w:pPr>
    </w:p>
    <w:p w14:paraId="5D939A7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 partir de estos datos se realizó el análisis descriptivo de la muestra, con el propósito de identificar las principales características de los participantes y </w:t>
      </w:r>
      <w:r>
        <w:rPr>
          <w:rFonts w:ascii="Arial" w:hAnsi="Arial" w:cs="Arial"/>
          <w:color w:val="2E74B5" w:themeColor="accent1" w:themeShade="BF"/>
          <w:sz w:val="24"/>
          <w:szCs w:val="24"/>
        </w:rPr>
        <w:lastRenderedPageBreak/>
        <w:t>establecer una primera aproximación al comportamiento de consumo digital evaluado en la investigación. En las siguientes tablas se presentan los resultados correspondientes a la distribución y caracterización general de la muestra analizada.</w:t>
      </w:r>
    </w:p>
    <w:p w14:paraId="0298C250" w14:textId="77777777" w:rsidR="00653A61" w:rsidRDefault="00653A61">
      <w:pPr>
        <w:jc w:val="center"/>
        <w:rPr>
          <w:rFonts w:ascii="Arial" w:hAnsi="Arial" w:cs="Arial"/>
          <w:color w:val="2E74B5" w:themeColor="accent1" w:themeShade="BF"/>
          <w:sz w:val="24"/>
          <w:szCs w:val="24"/>
        </w:rPr>
      </w:pPr>
    </w:p>
    <w:p w14:paraId="396321B3"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Tabla 5: Distribución de la muestra por edad </w:t>
      </w:r>
    </w:p>
    <w:p w14:paraId="2B109112" w14:textId="77777777" w:rsidR="00653A61" w:rsidRDefault="00653A61">
      <w:pPr>
        <w:jc w:val="both"/>
        <w:rPr>
          <w:rFonts w:ascii="Arial" w:hAnsi="Arial" w:cs="Arial"/>
          <w:color w:val="2E74B5" w:themeColor="accent1" w:themeShade="BF"/>
          <w:sz w:val="24"/>
          <w:szCs w:val="24"/>
        </w:rPr>
      </w:pPr>
    </w:p>
    <w:tbl>
      <w:tblPr>
        <w:tblStyle w:val="Tablaconcuadrcula6concolores-nfasis1"/>
        <w:tblW w:w="6697" w:type="dxa"/>
        <w:jc w:val="center"/>
        <w:tblLayout w:type="fixed"/>
        <w:tblLook w:val="04A0" w:firstRow="1" w:lastRow="0" w:firstColumn="1" w:lastColumn="0" w:noHBand="0" w:noVBand="1"/>
      </w:tblPr>
      <w:tblGrid>
        <w:gridCol w:w="2435"/>
        <w:gridCol w:w="2131"/>
        <w:gridCol w:w="2131"/>
      </w:tblGrid>
      <w:tr w:rsidR="00653A61" w14:paraId="5A95060D" w14:textId="77777777" w:rsidTr="00653A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5" w:type="dxa"/>
            <w:tcBorders>
              <w:bottom w:val="single" w:sz="12" w:space="0" w:color="9CC2E5"/>
            </w:tcBorders>
          </w:tcPr>
          <w:p w14:paraId="359A1D22" w14:textId="77777777" w:rsidR="00653A61" w:rsidRDefault="00563720">
            <w:pPr>
              <w:spacing w:after="0" w:line="240" w:lineRule="auto"/>
              <w:jc w:val="center"/>
              <w:rPr>
                <w:rFonts w:ascii="Arial" w:hAnsi="Arial" w:cs="Arial"/>
                <w:sz w:val="24"/>
                <w:szCs w:val="24"/>
              </w:rPr>
            </w:pPr>
            <w:r>
              <w:rPr>
                <w:rFonts w:ascii="Arial" w:eastAsia="Calibri" w:hAnsi="Arial" w:cs="Arial"/>
                <w:sz w:val="24"/>
                <w:szCs w:val="24"/>
              </w:rPr>
              <w:t>Edad</w:t>
            </w:r>
          </w:p>
        </w:tc>
        <w:tc>
          <w:tcPr>
            <w:tcW w:w="2131" w:type="dxa"/>
            <w:tcBorders>
              <w:bottom w:val="single" w:sz="12" w:space="0" w:color="9CC2E5"/>
            </w:tcBorders>
          </w:tcPr>
          <w:p w14:paraId="745C60AA"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Frecuencia</w:t>
            </w:r>
          </w:p>
        </w:tc>
        <w:tc>
          <w:tcPr>
            <w:tcW w:w="2131" w:type="dxa"/>
            <w:tcBorders>
              <w:bottom w:val="single" w:sz="12" w:space="0" w:color="9CC2E5"/>
            </w:tcBorders>
          </w:tcPr>
          <w:p w14:paraId="16F54642"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Porcentaje</w:t>
            </w:r>
          </w:p>
        </w:tc>
      </w:tr>
      <w:tr w:rsidR="00653A61" w14:paraId="06B6295B"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5" w:type="dxa"/>
          </w:tcPr>
          <w:p w14:paraId="221603C8"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27 – 28 años</w:t>
            </w:r>
          </w:p>
        </w:tc>
        <w:tc>
          <w:tcPr>
            <w:tcW w:w="2131" w:type="dxa"/>
          </w:tcPr>
          <w:p w14:paraId="419BC814"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190</w:t>
            </w:r>
          </w:p>
        </w:tc>
        <w:tc>
          <w:tcPr>
            <w:tcW w:w="2131" w:type="dxa"/>
          </w:tcPr>
          <w:p w14:paraId="1057787E"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51,3%</w:t>
            </w:r>
          </w:p>
        </w:tc>
      </w:tr>
      <w:tr w:rsidR="00653A61" w14:paraId="569840C2"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2435" w:type="dxa"/>
          </w:tcPr>
          <w:p w14:paraId="155D48A6"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24 – 26 años</w:t>
            </w:r>
          </w:p>
        </w:tc>
        <w:tc>
          <w:tcPr>
            <w:tcW w:w="2131" w:type="dxa"/>
          </w:tcPr>
          <w:p w14:paraId="36B8D1CF"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76</w:t>
            </w:r>
          </w:p>
        </w:tc>
        <w:tc>
          <w:tcPr>
            <w:tcW w:w="2131" w:type="dxa"/>
          </w:tcPr>
          <w:p w14:paraId="6B55D34E"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20,5%</w:t>
            </w:r>
          </w:p>
        </w:tc>
      </w:tr>
      <w:tr w:rsidR="00653A61" w14:paraId="6878DC63"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5" w:type="dxa"/>
          </w:tcPr>
          <w:p w14:paraId="29F94232"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18 – 20 años</w:t>
            </w:r>
          </w:p>
        </w:tc>
        <w:tc>
          <w:tcPr>
            <w:tcW w:w="2131" w:type="dxa"/>
          </w:tcPr>
          <w:p w14:paraId="5A6D4B55"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55</w:t>
            </w:r>
          </w:p>
        </w:tc>
        <w:tc>
          <w:tcPr>
            <w:tcW w:w="2131" w:type="dxa"/>
          </w:tcPr>
          <w:p w14:paraId="2DEFED8C"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14,9%</w:t>
            </w:r>
          </w:p>
        </w:tc>
      </w:tr>
      <w:tr w:rsidR="00653A61" w14:paraId="6F74CC69"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2435" w:type="dxa"/>
          </w:tcPr>
          <w:p w14:paraId="7FABBB92"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21 – 23 años</w:t>
            </w:r>
          </w:p>
        </w:tc>
        <w:tc>
          <w:tcPr>
            <w:tcW w:w="2131" w:type="dxa"/>
          </w:tcPr>
          <w:p w14:paraId="7A47C8AC"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49</w:t>
            </w:r>
          </w:p>
        </w:tc>
        <w:tc>
          <w:tcPr>
            <w:tcW w:w="2131" w:type="dxa"/>
          </w:tcPr>
          <w:p w14:paraId="2EEA5969"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13,3%</w:t>
            </w:r>
          </w:p>
        </w:tc>
      </w:tr>
      <w:tr w:rsidR="00653A61" w14:paraId="730BFF88"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5" w:type="dxa"/>
          </w:tcPr>
          <w:p w14:paraId="6ED2CBFB" w14:textId="77777777" w:rsidR="00653A61" w:rsidRDefault="00563720">
            <w:pPr>
              <w:spacing w:after="0" w:line="240" w:lineRule="auto"/>
              <w:jc w:val="center"/>
              <w:rPr>
                <w:rFonts w:ascii="Arial" w:hAnsi="Arial" w:cs="Arial"/>
                <w:sz w:val="24"/>
                <w:szCs w:val="24"/>
              </w:rPr>
            </w:pPr>
            <w:r>
              <w:rPr>
                <w:rFonts w:ascii="Arial" w:eastAsia="Calibri" w:hAnsi="Arial" w:cs="Arial"/>
                <w:sz w:val="24"/>
                <w:szCs w:val="24"/>
              </w:rPr>
              <w:t>Total</w:t>
            </w:r>
          </w:p>
        </w:tc>
        <w:tc>
          <w:tcPr>
            <w:tcW w:w="2131" w:type="dxa"/>
          </w:tcPr>
          <w:p w14:paraId="27E8557F"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370</w:t>
            </w:r>
          </w:p>
        </w:tc>
        <w:tc>
          <w:tcPr>
            <w:tcW w:w="2131" w:type="dxa"/>
          </w:tcPr>
          <w:p w14:paraId="17249F9D"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100%</w:t>
            </w:r>
          </w:p>
        </w:tc>
      </w:tr>
    </w:tbl>
    <w:p w14:paraId="2E56F8C5"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 xml:space="preserve">                </w:t>
      </w:r>
    </w:p>
    <w:p w14:paraId="59927ADA"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                Fuente: </w:t>
      </w:r>
      <w:r>
        <w:rPr>
          <w:rFonts w:ascii="Arial" w:hAnsi="Arial" w:cs="Arial"/>
          <w:color w:val="2E74B5" w:themeColor="accent1" w:themeShade="BF"/>
          <w:sz w:val="24"/>
          <w:szCs w:val="24"/>
        </w:rPr>
        <w:t>Elaboración propia</w:t>
      </w:r>
    </w:p>
    <w:p w14:paraId="637FDC81"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Tabla 6: Distribución de la muestra por género </w:t>
      </w:r>
    </w:p>
    <w:p w14:paraId="3B3B1C80" w14:textId="77777777" w:rsidR="00653A61" w:rsidRDefault="00653A61">
      <w:pPr>
        <w:jc w:val="both"/>
        <w:rPr>
          <w:rFonts w:ascii="Arial" w:hAnsi="Arial" w:cs="Arial"/>
          <w:color w:val="2E74B5" w:themeColor="accent1" w:themeShade="BF"/>
          <w:sz w:val="24"/>
          <w:szCs w:val="24"/>
        </w:rPr>
      </w:pPr>
    </w:p>
    <w:tbl>
      <w:tblPr>
        <w:tblStyle w:val="Tablaconcuadrcula6concolores-nfasis1"/>
        <w:tblW w:w="6697" w:type="dxa"/>
        <w:jc w:val="center"/>
        <w:tblLayout w:type="fixed"/>
        <w:tblLook w:val="04A0" w:firstRow="1" w:lastRow="0" w:firstColumn="1" w:lastColumn="0" w:noHBand="0" w:noVBand="1"/>
      </w:tblPr>
      <w:tblGrid>
        <w:gridCol w:w="2830"/>
        <w:gridCol w:w="1736"/>
        <w:gridCol w:w="2131"/>
      </w:tblGrid>
      <w:tr w:rsidR="00653A61" w14:paraId="72E7B881" w14:textId="77777777" w:rsidTr="00653A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tcBorders>
              <w:bottom w:val="single" w:sz="12" w:space="0" w:color="9CC2E5"/>
            </w:tcBorders>
          </w:tcPr>
          <w:p w14:paraId="65C139F5" w14:textId="77777777" w:rsidR="00653A61" w:rsidRDefault="00563720">
            <w:pPr>
              <w:spacing w:after="0" w:line="240" w:lineRule="auto"/>
              <w:jc w:val="center"/>
              <w:rPr>
                <w:rFonts w:ascii="Arial" w:hAnsi="Arial" w:cs="Arial"/>
                <w:sz w:val="24"/>
                <w:szCs w:val="24"/>
              </w:rPr>
            </w:pPr>
            <w:r>
              <w:rPr>
                <w:rFonts w:ascii="Arial" w:eastAsia="Calibri" w:hAnsi="Arial" w:cs="Arial"/>
                <w:sz w:val="24"/>
                <w:szCs w:val="24"/>
              </w:rPr>
              <w:t>Género</w:t>
            </w:r>
          </w:p>
        </w:tc>
        <w:tc>
          <w:tcPr>
            <w:tcW w:w="1736" w:type="dxa"/>
            <w:tcBorders>
              <w:bottom w:val="single" w:sz="12" w:space="0" w:color="9CC2E5"/>
            </w:tcBorders>
          </w:tcPr>
          <w:p w14:paraId="40D95594"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Frecuencia</w:t>
            </w:r>
          </w:p>
        </w:tc>
        <w:tc>
          <w:tcPr>
            <w:tcW w:w="2131" w:type="dxa"/>
            <w:tcBorders>
              <w:bottom w:val="single" w:sz="12" w:space="0" w:color="9CC2E5"/>
            </w:tcBorders>
          </w:tcPr>
          <w:p w14:paraId="6CB4E5FB"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Porcentaje</w:t>
            </w:r>
          </w:p>
        </w:tc>
      </w:tr>
      <w:tr w:rsidR="00653A61" w14:paraId="5B9AB4DE"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tcPr>
          <w:p w14:paraId="3E9E237A"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Masculino</w:t>
            </w:r>
          </w:p>
        </w:tc>
        <w:tc>
          <w:tcPr>
            <w:tcW w:w="1736" w:type="dxa"/>
          </w:tcPr>
          <w:p w14:paraId="53C3C77A"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176</w:t>
            </w:r>
          </w:p>
        </w:tc>
        <w:tc>
          <w:tcPr>
            <w:tcW w:w="2131" w:type="dxa"/>
          </w:tcPr>
          <w:p w14:paraId="18C86A17"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47,6%</w:t>
            </w:r>
          </w:p>
        </w:tc>
      </w:tr>
      <w:tr w:rsidR="00653A61" w14:paraId="019068CD"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2830" w:type="dxa"/>
          </w:tcPr>
          <w:p w14:paraId="5919918C"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Femenino</w:t>
            </w:r>
          </w:p>
        </w:tc>
        <w:tc>
          <w:tcPr>
            <w:tcW w:w="1736" w:type="dxa"/>
          </w:tcPr>
          <w:p w14:paraId="44F18D16"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171</w:t>
            </w:r>
          </w:p>
        </w:tc>
        <w:tc>
          <w:tcPr>
            <w:tcW w:w="2131" w:type="dxa"/>
          </w:tcPr>
          <w:p w14:paraId="01BE6E0C"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43,5%</w:t>
            </w:r>
          </w:p>
        </w:tc>
      </w:tr>
      <w:tr w:rsidR="00653A61" w14:paraId="70EE09DB"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tcPr>
          <w:p w14:paraId="1C113AEC"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Prefiero no responder</w:t>
            </w:r>
          </w:p>
        </w:tc>
        <w:tc>
          <w:tcPr>
            <w:tcW w:w="1736" w:type="dxa"/>
          </w:tcPr>
          <w:p w14:paraId="5C0E2DEB"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22</w:t>
            </w:r>
          </w:p>
        </w:tc>
        <w:tc>
          <w:tcPr>
            <w:tcW w:w="2131" w:type="dxa"/>
          </w:tcPr>
          <w:p w14:paraId="2704744A"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5,9%</w:t>
            </w:r>
          </w:p>
        </w:tc>
      </w:tr>
      <w:tr w:rsidR="00653A61" w14:paraId="15D8F5FE"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2830" w:type="dxa"/>
          </w:tcPr>
          <w:p w14:paraId="76FD01A1"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Otro</w:t>
            </w:r>
          </w:p>
        </w:tc>
        <w:tc>
          <w:tcPr>
            <w:tcW w:w="1736" w:type="dxa"/>
          </w:tcPr>
          <w:p w14:paraId="63346D0E"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11</w:t>
            </w:r>
          </w:p>
        </w:tc>
        <w:tc>
          <w:tcPr>
            <w:tcW w:w="2131" w:type="dxa"/>
          </w:tcPr>
          <w:p w14:paraId="6D489DC1"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3%</w:t>
            </w:r>
          </w:p>
        </w:tc>
      </w:tr>
      <w:tr w:rsidR="00653A61" w14:paraId="676FBF25"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tcPr>
          <w:p w14:paraId="3F61D4EF" w14:textId="77777777" w:rsidR="00653A61" w:rsidRDefault="00563720">
            <w:pPr>
              <w:spacing w:after="0" w:line="240" w:lineRule="auto"/>
              <w:jc w:val="center"/>
              <w:rPr>
                <w:rFonts w:ascii="Arial" w:hAnsi="Arial" w:cs="Arial"/>
                <w:sz w:val="24"/>
                <w:szCs w:val="24"/>
              </w:rPr>
            </w:pPr>
            <w:r>
              <w:rPr>
                <w:rFonts w:ascii="Arial" w:eastAsia="Calibri" w:hAnsi="Arial" w:cs="Arial"/>
                <w:sz w:val="24"/>
                <w:szCs w:val="24"/>
              </w:rPr>
              <w:t>Total</w:t>
            </w:r>
          </w:p>
        </w:tc>
        <w:tc>
          <w:tcPr>
            <w:tcW w:w="1736" w:type="dxa"/>
          </w:tcPr>
          <w:p w14:paraId="2732AF7D"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370</w:t>
            </w:r>
          </w:p>
        </w:tc>
        <w:tc>
          <w:tcPr>
            <w:tcW w:w="2131" w:type="dxa"/>
          </w:tcPr>
          <w:p w14:paraId="5E832001"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100%</w:t>
            </w:r>
          </w:p>
        </w:tc>
      </w:tr>
    </w:tbl>
    <w:p w14:paraId="4504E727"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 xml:space="preserve">                </w:t>
      </w:r>
    </w:p>
    <w:p w14:paraId="68248E8B"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                Fuente: </w:t>
      </w:r>
      <w:r>
        <w:rPr>
          <w:rFonts w:ascii="Arial" w:hAnsi="Arial" w:cs="Arial"/>
          <w:color w:val="2E74B5" w:themeColor="accent1" w:themeShade="BF"/>
          <w:sz w:val="24"/>
          <w:szCs w:val="24"/>
        </w:rPr>
        <w:t>Elaboración propia</w:t>
      </w:r>
    </w:p>
    <w:p w14:paraId="5D7D605B" w14:textId="77777777" w:rsidR="00653A61" w:rsidRDefault="00653A61">
      <w:pPr>
        <w:jc w:val="both"/>
        <w:rPr>
          <w:rFonts w:ascii="Arial" w:hAnsi="Arial" w:cs="Arial"/>
          <w:color w:val="2E74B5" w:themeColor="accent1" w:themeShade="BF"/>
          <w:sz w:val="24"/>
          <w:szCs w:val="24"/>
        </w:rPr>
      </w:pPr>
    </w:p>
    <w:p w14:paraId="2DE6788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las tablas anteriores se puede observar la distribución de la muestra de acuerdo con los rangos de edad establecidos para la investigación y el género, correspondientes a jóvenes bogotanos entre 18 y 28 años. Esta caracterización resulta relevante para el estudio, ya que permite identificar la participación de los diferentes grupos etarios incluidos dentro de la población objetivo.</w:t>
      </w:r>
    </w:p>
    <w:p w14:paraId="7DAB6580" w14:textId="77777777" w:rsidR="00653A61" w:rsidRDefault="00653A61">
      <w:pPr>
        <w:rPr>
          <w:rFonts w:ascii="Arial" w:hAnsi="Arial" w:cs="Arial"/>
          <w:color w:val="2E74B5" w:themeColor="accent1" w:themeShade="BF"/>
          <w:sz w:val="24"/>
          <w:szCs w:val="24"/>
        </w:rPr>
      </w:pPr>
    </w:p>
    <w:p w14:paraId="3361ED1E" w14:textId="77777777" w:rsidR="00653A61" w:rsidRDefault="00563720">
      <w:pPr>
        <w:rPr>
          <w:rFonts w:ascii="Arial" w:hAnsi="Arial" w:cs="Arial"/>
          <w:color w:val="2E74B5" w:themeColor="accent1" w:themeShade="BF"/>
          <w:sz w:val="24"/>
          <w:szCs w:val="24"/>
        </w:rPr>
      </w:pPr>
      <w:r>
        <w:rPr>
          <w:rFonts w:ascii="Arial" w:hAnsi="Arial" w:cs="Arial"/>
          <w:color w:val="2E74B5" w:themeColor="accent1" w:themeShade="BF"/>
          <w:sz w:val="24"/>
          <w:szCs w:val="24"/>
        </w:rPr>
        <w:t>Tabla 7: Caracterización de la muestra por nivel educativo alcanzado y ocupación</w:t>
      </w:r>
    </w:p>
    <w:p w14:paraId="4ED25710" w14:textId="77777777" w:rsidR="00653A61" w:rsidRDefault="00653A61">
      <w:pPr>
        <w:jc w:val="both"/>
        <w:rPr>
          <w:rFonts w:ascii="Arial" w:hAnsi="Arial" w:cs="Arial"/>
          <w:color w:val="2E74B5" w:themeColor="accent1" w:themeShade="BF"/>
          <w:sz w:val="24"/>
          <w:szCs w:val="24"/>
        </w:rPr>
      </w:pPr>
    </w:p>
    <w:p w14:paraId="337EA533" w14:textId="77777777" w:rsidR="005C7CE9" w:rsidRDefault="005C7CE9">
      <w:pPr>
        <w:jc w:val="both"/>
        <w:rPr>
          <w:rFonts w:ascii="Arial" w:hAnsi="Arial" w:cs="Arial"/>
          <w:color w:val="2E74B5" w:themeColor="accent1" w:themeShade="BF"/>
          <w:sz w:val="24"/>
          <w:szCs w:val="24"/>
        </w:rPr>
      </w:pPr>
    </w:p>
    <w:tbl>
      <w:tblPr>
        <w:tblStyle w:val="Tablaconcuadrcula6concolores-nfasis1"/>
        <w:tblW w:w="8828" w:type="dxa"/>
        <w:jc w:val="center"/>
        <w:tblLayout w:type="fixed"/>
        <w:tblLook w:val="04A0" w:firstRow="1" w:lastRow="0" w:firstColumn="1" w:lastColumn="0" w:noHBand="0" w:noVBand="1"/>
      </w:tblPr>
      <w:tblGrid>
        <w:gridCol w:w="1837"/>
        <w:gridCol w:w="3119"/>
        <w:gridCol w:w="1740"/>
        <w:gridCol w:w="2132"/>
      </w:tblGrid>
      <w:tr w:rsidR="00653A61" w14:paraId="6D3D6C2C" w14:textId="77777777" w:rsidTr="00653A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tcBorders>
              <w:bottom w:val="single" w:sz="12" w:space="0" w:color="9CC2E5"/>
            </w:tcBorders>
          </w:tcPr>
          <w:p w14:paraId="7662DF5E" w14:textId="77777777" w:rsidR="00653A61" w:rsidRDefault="00563720">
            <w:pPr>
              <w:spacing w:after="0" w:line="240" w:lineRule="auto"/>
              <w:jc w:val="center"/>
              <w:rPr>
                <w:rFonts w:ascii="Arial" w:hAnsi="Arial" w:cs="Arial"/>
                <w:sz w:val="24"/>
                <w:szCs w:val="24"/>
              </w:rPr>
            </w:pPr>
            <w:r>
              <w:rPr>
                <w:rFonts w:ascii="Arial" w:eastAsia="Calibri" w:hAnsi="Arial" w:cs="Arial"/>
                <w:sz w:val="24"/>
                <w:szCs w:val="24"/>
              </w:rPr>
              <w:lastRenderedPageBreak/>
              <w:t>Variables</w:t>
            </w:r>
          </w:p>
        </w:tc>
        <w:tc>
          <w:tcPr>
            <w:tcW w:w="3119" w:type="dxa"/>
            <w:tcBorders>
              <w:bottom w:val="single" w:sz="12" w:space="0" w:color="9CC2E5"/>
            </w:tcBorders>
          </w:tcPr>
          <w:p w14:paraId="4A202231"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Niveles</w:t>
            </w:r>
          </w:p>
        </w:tc>
        <w:tc>
          <w:tcPr>
            <w:tcW w:w="1740" w:type="dxa"/>
            <w:tcBorders>
              <w:bottom w:val="single" w:sz="12" w:space="0" w:color="9CC2E5"/>
            </w:tcBorders>
          </w:tcPr>
          <w:p w14:paraId="4DCC942E"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Frecuencia</w:t>
            </w:r>
          </w:p>
        </w:tc>
        <w:tc>
          <w:tcPr>
            <w:tcW w:w="2132" w:type="dxa"/>
            <w:tcBorders>
              <w:bottom w:val="single" w:sz="12" w:space="0" w:color="9CC2E5"/>
            </w:tcBorders>
          </w:tcPr>
          <w:p w14:paraId="3C5D9582"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Porcentaje</w:t>
            </w:r>
          </w:p>
        </w:tc>
      </w:tr>
      <w:tr w:rsidR="00653A61" w14:paraId="6462DF7F"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686BCCEB" w14:textId="77777777" w:rsidR="00653A61" w:rsidRDefault="00563720">
            <w:pPr>
              <w:spacing w:before="240" w:after="0" w:line="240" w:lineRule="auto"/>
              <w:jc w:val="center"/>
              <w:rPr>
                <w:rFonts w:ascii="Arial" w:hAnsi="Arial" w:cs="Arial"/>
                <w:b w:val="0"/>
                <w:bCs w:val="0"/>
                <w:sz w:val="24"/>
                <w:szCs w:val="24"/>
              </w:rPr>
            </w:pPr>
            <w:r>
              <w:rPr>
                <w:rFonts w:ascii="Arial" w:eastAsia="Calibri" w:hAnsi="Arial" w:cs="Arial"/>
                <w:b w:val="0"/>
                <w:bCs w:val="0"/>
                <w:sz w:val="24"/>
                <w:szCs w:val="24"/>
              </w:rPr>
              <w:t>Nivel educativo alcanzado</w:t>
            </w:r>
          </w:p>
        </w:tc>
        <w:tc>
          <w:tcPr>
            <w:tcW w:w="3119" w:type="dxa"/>
          </w:tcPr>
          <w:p w14:paraId="0AA133CF"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Bachillerato</w:t>
            </w:r>
          </w:p>
        </w:tc>
        <w:tc>
          <w:tcPr>
            <w:tcW w:w="1740" w:type="dxa"/>
          </w:tcPr>
          <w:p w14:paraId="654D36E8"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41</w:t>
            </w:r>
          </w:p>
        </w:tc>
        <w:tc>
          <w:tcPr>
            <w:tcW w:w="2132" w:type="dxa"/>
          </w:tcPr>
          <w:p w14:paraId="5E4050A6"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11%</w:t>
            </w:r>
          </w:p>
        </w:tc>
      </w:tr>
      <w:tr w:rsidR="00653A61" w14:paraId="3D42C198"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4024FA41" w14:textId="77777777" w:rsidR="00653A61" w:rsidRDefault="00653A61">
            <w:pPr>
              <w:spacing w:after="0" w:line="240" w:lineRule="auto"/>
              <w:jc w:val="center"/>
              <w:rPr>
                <w:rFonts w:ascii="Arial" w:hAnsi="Arial" w:cs="Arial"/>
                <w:b w:val="0"/>
                <w:bCs w:val="0"/>
                <w:sz w:val="24"/>
                <w:szCs w:val="24"/>
              </w:rPr>
            </w:pPr>
          </w:p>
        </w:tc>
        <w:tc>
          <w:tcPr>
            <w:tcW w:w="3119" w:type="dxa"/>
          </w:tcPr>
          <w:p w14:paraId="65A177C3"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 xml:space="preserve">Técnico/Tecnológico </w:t>
            </w:r>
          </w:p>
        </w:tc>
        <w:tc>
          <w:tcPr>
            <w:tcW w:w="1740" w:type="dxa"/>
          </w:tcPr>
          <w:p w14:paraId="7E7C601C"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63</w:t>
            </w:r>
          </w:p>
        </w:tc>
        <w:tc>
          <w:tcPr>
            <w:tcW w:w="2132" w:type="dxa"/>
          </w:tcPr>
          <w:p w14:paraId="047FFE13"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17%</w:t>
            </w:r>
          </w:p>
        </w:tc>
      </w:tr>
      <w:tr w:rsidR="00653A61" w14:paraId="6C2B69C3"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4509C1E1" w14:textId="77777777" w:rsidR="00653A61" w:rsidRDefault="00653A61">
            <w:pPr>
              <w:spacing w:after="0" w:line="240" w:lineRule="auto"/>
              <w:jc w:val="center"/>
              <w:rPr>
                <w:rFonts w:ascii="Arial" w:hAnsi="Arial" w:cs="Arial"/>
                <w:b w:val="0"/>
                <w:bCs w:val="0"/>
                <w:sz w:val="24"/>
                <w:szCs w:val="24"/>
              </w:rPr>
            </w:pPr>
          </w:p>
        </w:tc>
        <w:tc>
          <w:tcPr>
            <w:tcW w:w="3119" w:type="dxa"/>
          </w:tcPr>
          <w:p w14:paraId="225FB087"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Universitario en curso</w:t>
            </w:r>
          </w:p>
        </w:tc>
        <w:tc>
          <w:tcPr>
            <w:tcW w:w="1740" w:type="dxa"/>
          </w:tcPr>
          <w:p w14:paraId="4C03F213"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72</w:t>
            </w:r>
          </w:p>
        </w:tc>
        <w:tc>
          <w:tcPr>
            <w:tcW w:w="2132" w:type="dxa"/>
          </w:tcPr>
          <w:p w14:paraId="4E6AA43C"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19,5%</w:t>
            </w:r>
          </w:p>
        </w:tc>
      </w:tr>
      <w:tr w:rsidR="00653A61" w14:paraId="61B41672"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5885411E" w14:textId="77777777" w:rsidR="00653A61" w:rsidRDefault="00653A61">
            <w:pPr>
              <w:spacing w:after="0" w:line="240" w:lineRule="auto"/>
              <w:jc w:val="center"/>
              <w:rPr>
                <w:rFonts w:ascii="Arial" w:hAnsi="Arial" w:cs="Arial"/>
                <w:b w:val="0"/>
                <w:bCs w:val="0"/>
                <w:sz w:val="24"/>
                <w:szCs w:val="24"/>
              </w:rPr>
            </w:pPr>
          </w:p>
        </w:tc>
        <w:tc>
          <w:tcPr>
            <w:tcW w:w="3119" w:type="dxa"/>
          </w:tcPr>
          <w:p w14:paraId="0B200FAB"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Universitario en finalizado</w:t>
            </w:r>
          </w:p>
        </w:tc>
        <w:tc>
          <w:tcPr>
            <w:tcW w:w="1740" w:type="dxa"/>
          </w:tcPr>
          <w:p w14:paraId="6805B895"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107</w:t>
            </w:r>
          </w:p>
        </w:tc>
        <w:tc>
          <w:tcPr>
            <w:tcW w:w="2132" w:type="dxa"/>
          </w:tcPr>
          <w:p w14:paraId="3E872570"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28,9%</w:t>
            </w:r>
          </w:p>
        </w:tc>
      </w:tr>
      <w:tr w:rsidR="00653A61" w14:paraId="23BF6BFA"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54CE0EAC" w14:textId="77777777" w:rsidR="00653A61" w:rsidRDefault="00653A61">
            <w:pPr>
              <w:spacing w:after="0" w:line="240" w:lineRule="auto"/>
              <w:jc w:val="center"/>
              <w:rPr>
                <w:rFonts w:ascii="Arial" w:hAnsi="Arial" w:cs="Arial"/>
                <w:b w:val="0"/>
                <w:bCs w:val="0"/>
                <w:sz w:val="24"/>
                <w:szCs w:val="24"/>
              </w:rPr>
            </w:pPr>
          </w:p>
        </w:tc>
        <w:tc>
          <w:tcPr>
            <w:tcW w:w="3119" w:type="dxa"/>
          </w:tcPr>
          <w:p w14:paraId="0015AE9C"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Posgrado</w:t>
            </w:r>
          </w:p>
        </w:tc>
        <w:tc>
          <w:tcPr>
            <w:tcW w:w="1740" w:type="dxa"/>
          </w:tcPr>
          <w:p w14:paraId="5AD84D25"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87</w:t>
            </w:r>
          </w:p>
        </w:tc>
        <w:tc>
          <w:tcPr>
            <w:tcW w:w="2132" w:type="dxa"/>
          </w:tcPr>
          <w:p w14:paraId="3714604E"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23,6%</w:t>
            </w:r>
          </w:p>
        </w:tc>
      </w:tr>
      <w:tr w:rsidR="00653A61" w14:paraId="6D142FB2"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019E0EEB" w14:textId="77777777" w:rsidR="00653A61" w:rsidRDefault="00653A61">
            <w:pPr>
              <w:spacing w:after="0" w:line="240" w:lineRule="auto"/>
              <w:jc w:val="center"/>
              <w:rPr>
                <w:rFonts w:ascii="Arial" w:hAnsi="Arial" w:cs="Arial"/>
                <w:b w:val="0"/>
                <w:bCs w:val="0"/>
                <w:sz w:val="24"/>
                <w:szCs w:val="24"/>
              </w:rPr>
            </w:pPr>
          </w:p>
          <w:p w14:paraId="27AF1095" w14:textId="77777777" w:rsidR="00653A61" w:rsidRDefault="00653A61">
            <w:pPr>
              <w:spacing w:after="0" w:line="240" w:lineRule="auto"/>
              <w:jc w:val="center"/>
              <w:rPr>
                <w:rFonts w:ascii="Arial" w:hAnsi="Arial" w:cs="Arial"/>
                <w:sz w:val="24"/>
                <w:szCs w:val="24"/>
              </w:rPr>
            </w:pPr>
          </w:p>
          <w:p w14:paraId="021BFB5A"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Ocupación</w:t>
            </w:r>
          </w:p>
        </w:tc>
        <w:tc>
          <w:tcPr>
            <w:tcW w:w="3119" w:type="dxa"/>
          </w:tcPr>
          <w:p w14:paraId="068654CC"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 xml:space="preserve">Estudiando </w:t>
            </w:r>
          </w:p>
        </w:tc>
        <w:tc>
          <w:tcPr>
            <w:tcW w:w="1740" w:type="dxa"/>
          </w:tcPr>
          <w:p w14:paraId="6A6FCE91"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55</w:t>
            </w:r>
          </w:p>
        </w:tc>
        <w:tc>
          <w:tcPr>
            <w:tcW w:w="2132" w:type="dxa"/>
          </w:tcPr>
          <w:p w14:paraId="5E548F8E"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14,9%</w:t>
            </w:r>
          </w:p>
        </w:tc>
      </w:tr>
      <w:tr w:rsidR="00653A61" w14:paraId="1F0E6C02"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3A76BC32" w14:textId="77777777" w:rsidR="00653A61" w:rsidRDefault="00653A61">
            <w:pPr>
              <w:spacing w:after="0" w:line="240" w:lineRule="auto"/>
              <w:jc w:val="center"/>
              <w:rPr>
                <w:rFonts w:ascii="Arial" w:hAnsi="Arial" w:cs="Arial"/>
                <w:sz w:val="24"/>
                <w:szCs w:val="24"/>
              </w:rPr>
            </w:pPr>
          </w:p>
        </w:tc>
        <w:tc>
          <w:tcPr>
            <w:tcW w:w="3119" w:type="dxa"/>
          </w:tcPr>
          <w:p w14:paraId="781E9FCE"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Estudiando y trabajando</w:t>
            </w:r>
          </w:p>
        </w:tc>
        <w:tc>
          <w:tcPr>
            <w:tcW w:w="1740" w:type="dxa"/>
          </w:tcPr>
          <w:p w14:paraId="49E59347"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76</w:t>
            </w:r>
          </w:p>
        </w:tc>
        <w:tc>
          <w:tcPr>
            <w:tcW w:w="2132" w:type="dxa"/>
          </w:tcPr>
          <w:p w14:paraId="074FE4EF"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20,5%</w:t>
            </w:r>
          </w:p>
        </w:tc>
      </w:tr>
      <w:tr w:rsidR="00653A61" w14:paraId="18E3DCA2"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075251A3" w14:textId="77777777" w:rsidR="00653A61" w:rsidRDefault="00653A61">
            <w:pPr>
              <w:spacing w:after="0" w:line="240" w:lineRule="auto"/>
              <w:jc w:val="center"/>
              <w:rPr>
                <w:rFonts w:ascii="Arial" w:hAnsi="Arial" w:cs="Arial"/>
                <w:sz w:val="24"/>
                <w:szCs w:val="24"/>
              </w:rPr>
            </w:pPr>
          </w:p>
        </w:tc>
        <w:tc>
          <w:tcPr>
            <w:tcW w:w="3119" w:type="dxa"/>
          </w:tcPr>
          <w:p w14:paraId="7C128392"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Trabajando</w:t>
            </w:r>
          </w:p>
        </w:tc>
        <w:tc>
          <w:tcPr>
            <w:tcW w:w="1740" w:type="dxa"/>
          </w:tcPr>
          <w:p w14:paraId="6D4E826E"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175</w:t>
            </w:r>
          </w:p>
        </w:tc>
        <w:tc>
          <w:tcPr>
            <w:tcW w:w="2132" w:type="dxa"/>
          </w:tcPr>
          <w:p w14:paraId="77EEA2AE"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47,3%</w:t>
            </w:r>
          </w:p>
        </w:tc>
      </w:tr>
      <w:tr w:rsidR="00653A61" w14:paraId="1C77B83F"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7893EA38" w14:textId="77777777" w:rsidR="00653A61" w:rsidRDefault="00653A61">
            <w:pPr>
              <w:spacing w:after="0" w:line="240" w:lineRule="auto"/>
              <w:jc w:val="center"/>
              <w:rPr>
                <w:rFonts w:ascii="Arial" w:hAnsi="Arial" w:cs="Arial"/>
                <w:sz w:val="24"/>
                <w:szCs w:val="24"/>
              </w:rPr>
            </w:pPr>
          </w:p>
        </w:tc>
        <w:tc>
          <w:tcPr>
            <w:tcW w:w="3119" w:type="dxa"/>
          </w:tcPr>
          <w:p w14:paraId="5D8D6F76"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Emprendiendo</w:t>
            </w:r>
          </w:p>
        </w:tc>
        <w:tc>
          <w:tcPr>
            <w:tcW w:w="1740" w:type="dxa"/>
          </w:tcPr>
          <w:p w14:paraId="15F9EB4B"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43</w:t>
            </w:r>
          </w:p>
        </w:tc>
        <w:tc>
          <w:tcPr>
            <w:tcW w:w="2132" w:type="dxa"/>
          </w:tcPr>
          <w:p w14:paraId="2FC46587"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11,6%</w:t>
            </w:r>
          </w:p>
        </w:tc>
      </w:tr>
      <w:tr w:rsidR="00653A61" w14:paraId="16788E43"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37E41850" w14:textId="77777777" w:rsidR="00653A61" w:rsidRDefault="00653A61">
            <w:pPr>
              <w:spacing w:after="0" w:line="240" w:lineRule="auto"/>
              <w:jc w:val="center"/>
              <w:rPr>
                <w:rFonts w:ascii="Arial" w:hAnsi="Arial" w:cs="Arial"/>
                <w:sz w:val="24"/>
                <w:szCs w:val="24"/>
              </w:rPr>
            </w:pPr>
          </w:p>
        </w:tc>
        <w:tc>
          <w:tcPr>
            <w:tcW w:w="3119" w:type="dxa"/>
          </w:tcPr>
          <w:p w14:paraId="44857D38"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Ninguna de las anteriores</w:t>
            </w:r>
          </w:p>
        </w:tc>
        <w:tc>
          <w:tcPr>
            <w:tcW w:w="1740" w:type="dxa"/>
          </w:tcPr>
          <w:p w14:paraId="5021A41C"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21</w:t>
            </w:r>
          </w:p>
        </w:tc>
        <w:tc>
          <w:tcPr>
            <w:tcW w:w="2132" w:type="dxa"/>
          </w:tcPr>
          <w:p w14:paraId="35A1AD0D"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5,7%</w:t>
            </w:r>
          </w:p>
        </w:tc>
      </w:tr>
    </w:tbl>
    <w:p w14:paraId="29F65F35" w14:textId="77777777" w:rsidR="00653A61" w:rsidRDefault="00653A61">
      <w:pPr>
        <w:jc w:val="both"/>
        <w:rPr>
          <w:rFonts w:ascii="Arial" w:hAnsi="Arial" w:cs="Arial"/>
          <w:b/>
          <w:bCs/>
          <w:color w:val="2E74B5" w:themeColor="accent1" w:themeShade="BF"/>
          <w:sz w:val="24"/>
          <w:szCs w:val="24"/>
        </w:rPr>
      </w:pPr>
    </w:p>
    <w:p w14:paraId="6BAF36F0"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Fuente: </w:t>
      </w:r>
      <w:r>
        <w:rPr>
          <w:rFonts w:ascii="Arial" w:hAnsi="Arial" w:cs="Arial"/>
          <w:color w:val="2E74B5" w:themeColor="accent1" w:themeShade="BF"/>
          <w:sz w:val="24"/>
          <w:szCs w:val="24"/>
        </w:rPr>
        <w:t>Elaboración propia</w:t>
      </w:r>
    </w:p>
    <w:p w14:paraId="3BDB885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la tabla anterior se presentan los resultados correspondientes al nivel educativo alcanzado y la ocupación actual de los participantes incluidos en la muestra, permitiendo identificar algunas características académicas y laborales de la población analizada. En cuanto al nivel educativo, la mayor participación corresponde a personas con formación universitaria finalizada (28,9%), seguida de participantes con estudios de posgrado (23,6%). Respecto a la ocupación, el 47,3% de los encuestados indicó encontrarse trabajando actualmente, mientras que el 20,5% manifestó estudiar y trabajar simultáneamente.</w:t>
      </w:r>
    </w:p>
    <w:p w14:paraId="700AC593" w14:textId="77777777" w:rsidR="00653A61" w:rsidRDefault="00653A61">
      <w:pPr>
        <w:jc w:val="both"/>
        <w:rPr>
          <w:rFonts w:ascii="Arial" w:hAnsi="Arial" w:cs="Arial"/>
          <w:color w:val="2E74B5" w:themeColor="accent1" w:themeShade="BF"/>
          <w:sz w:val="24"/>
          <w:szCs w:val="24"/>
        </w:rPr>
      </w:pPr>
    </w:p>
    <w:p w14:paraId="684A9348"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Tabla 8: Caracterización de la muestra socioeconómica y frecuencia de compra en plataformas digitales</w:t>
      </w:r>
    </w:p>
    <w:p w14:paraId="10012D2A" w14:textId="77777777" w:rsidR="00653A61" w:rsidRDefault="00653A61">
      <w:pPr>
        <w:jc w:val="both"/>
        <w:rPr>
          <w:rFonts w:ascii="Arial" w:hAnsi="Arial" w:cs="Arial"/>
          <w:color w:val="2E74B5" w:themeColor="accent1" w:themeShade="BF"/>
          <w:sz w:val="24"/>
          <w:szCs w:val="24"/>
        </w:rPr>
      </w:pPr>
    </w:p>
    <w:tbl>
      <w:tblPr>
        <w:tblStyle w:val="Tablaconcuadrcula6concolores-nfasis1"/>
        <w:tblW w:w="8828" w:type="dxa"/>
        <w:jc w:val="center"/>
        <w:tblLayout w:type="fixed"/>
        <w:tblLook w:val="04A0" w:firstRow="1" w:lastRow="0" w:firstColumn="1" w:lastColumn="0" w:noHBand="0" w:noVBand="1"/>
      </w:tblPr>
      <w:tblGrid>
        <w:gridCol w:w="1837"/>
        <w:gridCol w:w="3119"/>
        <w:gridCol w:w="1740"/>
        <w:gridCol w:w="2132"/>
      </w:tblGrid>
      <w:tr w:rsidR="00653A61" w14:paraId="20DF946B" w14:textId="77777777" w:rsidTr="00653A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tcBorders>
              <w:bottom w:val="single" w:sz="12" w:space="0" w:color="9CC2E5"/>
            </w:tcBorders>
          </w:tcPr>
          <w:p w14:paraId="182E6F57" w14:textId="77777777" w:rsidR="00653A61" w:rsidRDefault="00563720">
            <w:pPr>
              <w:spacing w:after="0" w:line="240" w:lineRule="auto"/>
              <w:jc w:val="center"/>
              <w:rPr>
                <w:rFonts w:ascii="Arial" w:hAnsi="Arial" w:cs="Arial"/>
                <w:sz w:val="24"/>
                <w:szCs w:val="24"/>
              </w:rPr>
            </w:pPr>
            <w:r>
              <w:rPr>
                <w:rFonts w:ascii="Arial" w:eastAsia="Calibri" w:hAnsi="Arial" w:cs="Arial"/>
                <w:sz w:val="24"/>
                <w:szCs w:val="24"/>
              </w:rPr>
              <w:t>Variables</w:t>
            </w:r>
          </w:p>
        </w:tc>
        <w:tc>
          <w:tcPr>
            <w:tcW w:w="3119" w:type="dxa"/>
            <w:tcBorders>
              <w:bottom w:val="single" w:sz="12" w:space="0" w:color="9CC2E5"/>
            </w:tcBorders>
          </w:tcPr>
          <w:p w14:paraId="4872103B"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Niveles</w:t>
            </w:r>
          </w:p>
        </w:tc>
        <w:tc>
          <w:tcPr>
            <w:tcW w:w="1740" w:type="dxa"/>
            <w:tcBorders>
              <w:bottom w:val="single" w:sz="12" w:space="0" w:color="9CC2E5"/>
            </w:tcBorders>
          </w:tcPr>
          <w:p w14:paraId="5AE5870A"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Frecuencia</w:t>
            </w:r>
          </w:p>
        </w:tc>
        <w:tc>
          <w:tcPr>
            <w:tcW w:w="2132" w:type="dxa"/>
            <w:tcBorders>
              <w:bottom w:val="single" w:sz="12" w:space="0" w:color="9CC2E5"/>
            </w:tcBorders>
          </w:tcPr>
          <w:p w14:paraId="327A8225" w14:textId="77777777" w:rsidR="00653A61" w:rsidRDefault="005637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Porcentaje</w:t>
            </w:r>
          </w:p>
        </w:tc>
      </w:tr>
      <w:tr w:rsidR="00653A61" w14:paraId="0E5F6561"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3C4D9195" w14:textId="77777777" w:rsidR="00653A61" w:rsidRDefault="00563720">
            <w:pPr>
              <w:spacing w:before="240" w:after="0" w:line="240" w:lineRule="auto"/>
              <w:jc w:val="center"/>
              <w:rPr>
                <w:rFonts w:ascii="Arial" w:hAnsi="Arial" w:cs="Arial"/>
                <w:b w:val="0"/>
                <w:bCs w:val="0"/>
                <w:sz w:val="24"/>
                <w:szCs w:val="24"/>
              </w:rPr>
            </w:pPr>
            <w:r>
              <w:rPr>
                <w:rFonts w:ascii="Arial" w:eastAsia="Calibri" w:hAnsi="Arial" w:cs="Arial"/>
                <w:b w:val="0"/>
                <w:bCs w:val="0"/>
                <w:sz w:val="24"/>
                <w:szCs w:val="24"/>
              </w:rPr>
              <w:t>Ingresos mensuales</w:t>
            </w:r>
          </w:p>
        </w:tc>
        <w:tc>
          <w:tcPr>
            <w:tcW w:w="3119" w:type="dxa"/>
          </w:tcPr>
          <w:p w14:paraId="06D6CA43"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Sin ingresos propios</w:t>
            </w:r>
          </w:p>
        </w:tc>
        <w:tc>
          <w:tcPr>
            <w:tcW w:w="1740" w:type="dxa"/>
          </w:tcPr>
          <w:p w14:paraId="791A2A9A"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50</w:t>
            </w:r>
          </w:p>
        </w:tc>
        <w:tc>
          <w:tcPr>
            <w:tcW w:w="2132" w:type="dxa"/>
          </w:tcPr>
          <w:p w14:paraId="7BE153F9"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13,5%</w:t>
            </w:r>
          </w:p>
        </w:tc>
      </w:tr>
      <w:tr w:rsidR="00653A61" w14:paraId="6731BE70"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7CC0FFB2" w14:textId="77777777" w:rsidR="00653A61" w:rsidRDefault="00653A61">
            <w:pPr>
              <w:spacing w:after="0" w:line="240" w:lineRule="auto"/>
              <w:jc w:val="center"/>
              <w:rPr>
                <w:rFonts w:ascii="Arial" w:hAnsi="Arial" w:cs="Arial"/>
                <w:b w:val="0"/>
                <w:bCs w:val="0"/>
                <w:sz w:val="24"/>
                <w:szCs w:val="24"/>
              </w:rPr>
            </w:pPr>
          </w:p>
        </w:tc>
        <w:tc>
          <w:tcPr>
            <w:tcW w:w="3119" w:type="dxa"/>
          </w:tcPr>
          <w:p w14:paraId="131E381E" w14:textId="77777777" w:rsidR="00653A61" w:rsidRDefault="0056372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Menos de 1 SMMLV</w:t>
            </w:r>
          </w:p>
        </w:tc>
        <w:tc>
          <w:tcPr>
            <w:tcW w:w="1740" w:type="dxa"/>
          </w:tcPr>
          <w:p w14:paraId="095B9278"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17</w:t>
            </w:r>
          </w:p>
        </w:tc>
        <w:tc>
          <w:tcPr>
            <w:tcW w:w="2132" w:type="dxa"/>
          </w:tcPr>
          <w:p w14:paraId="190EC895"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4,6%</w:t>
            </w:r>
          </w:p>
        </w:tc>
      </w:tr>
      <w:tr w:rsidR="00653A61" w14:paraId="070984DF"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7A63C55F" w14:textId="77777777" w:rsidR="00653A61" w:rsidRDefault="00653A61">
            <w:pPr>
              <w:spacing w:after="0" w:line="240" w:lineRule="auto"/>
              <w:jc w:val="center"/>
              <w:rPr>
                <w:rFonts w:ascii="Arial" w:hAnsi="Arial" w:cs="Arial"/>
                <w:b w:val="0"/>
                <w:bCs w:val="0"/>
                <w:sz w:val="24"/>
                <w:szCs w:val="24"/>
              </w:rPr>
            </w:pPr>
          </w:p>
        </w:tc>
        <w:tc>
          <w:tcPr>
            <w:tcW w:w="3119" w:type="dxa"/>
          </w:tcPr>
          <w:p w14:paraId="6097C2EC"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Entre 1 y 2 SMMLV</w:t>
            </w:r>
          </w:p>
        </w:tc>
        <w:tc>
          <w:tcPr>
            <w:tcW w:w="1740" w:type="dxa"/>
          </w:tcPr>
          <w:p w14:paraId="391DC9DA"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119</w:t>
            </w:r>
          </w:p>
        </w:tc>
        <w:tc>
          <w:tcPr>
            <w:tcW w:w="2132" w:type="dxa"/>
          </w:tcPr>
          <w:p w14:paraId="46D57C2C"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32,1%</w:t>
            </w:r>
          </w:p>
        </w:tc>
      </w:tr>
      <w:tr w:rsidR="00653A61" w14:paraId="0782F68E"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133B0D2C" w14:textId="77777777" w:rsidR="00653A61" w:rsidRDefault="00653A61">
            <w:pPr>
              <w:spacing w:after="0" w:line="240" w:lineRule="auto"/>
              <w:jc w:val="center"/>
              <w:rPr>
                <w:rFonts w:ascii="Arial" w:hAnsi="Arial" w:cs="Arial"/>
                <w:b w:val="0"/>
                <w:bCs w:val="0"/>
                <w:sz w:val="24"/>
                <w:szCs w:val="24"/>
              </w:rPr>
            </w:pPr>
          </w:p>
        </w:tc>
        <w:tc>
          <w:tcPr>
            <w:tcW w:w="3119" w:type="dxa"/>
          </w:tcPr>
          <w:p w14:paraId="5B750043" w14:textId="77777777" w:rsidR="00653A61" w:rsidRDefault="0056372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Entre 2 y 3 SMMLV</w:t>
            </w:r>
          </w:p>
        </w:tc>
        <w:tc>
          <w:tcPr>
            <w:tcW w:w="1740" w:type="dxa"/>
          </w:tcPr>
          <w:p w14:paraId="3297FBC8"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72</w:t>
            </w:r>
          </w:p>
        </w:tc>
        <w:tc>
          <w:tcPr>
            <w:tcW w:w="2132" w:type="dxa"/>
          </w:tcPr>
          <w:p w14:paraId="0BA301A6"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19,5%</w:t>
            </w:r>
          </w:p>
        </w:tc>
      </w:tr>
      <w:tr w:rsidR="00653A61" w14:paraId="3119DDF5"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4639505F" w14:textId="77777777" w:rsidR="00653A61" w:rsidRDefault="00653A61">
            <w:pPr>
              <w:spacing w:after="0" w:line="240" w:lineRule="auto"/>
              <w:jc w:val="center"/>
              <w:rPr>
                <w:rFonts w:ascii="Arial" w:hAnsi="Arial" w:cs="Arial"/>
                <w:b w:val="0"/>
                <w:bCs w:val="0"/>
                <w:sz w:val="24"/>
                <w:szCs w:val="24"/>
              </w:rPr>
            </w:pPr>
          </w:p>
        </w:tc>
        <w:tc>
          <w:tcPr>
            <w:tcW w:w="3119" w:type="dxa"/>
          </w:tcPr>
          <w:p w14:paraId="1FCD1B7D" w14:textId="77777777" w:rsidR="00653A61" w:rsidRDefault="0056372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Más de 3 SMMLV</w:t>
            </w:r>
          </w:p>
        </w:tc>
        <w:tc>
          <w:tcPr>
            <w:tcW w:w="1740" w:type="dxa"/>
          </w:tcPr>
          <w:p w14:paraId="1AA44F1F"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112</w:t>
            </w:r>
          </w:p>
        </w:tc>
        <w:tc>
          <w:tcPr>
            <w:tcW w:w="2132" w:type="dxa"/>
          </w:tcPr>
          <w:p w14:paraId="2C7C2165"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30,3%</w:t>
            </w:r>
          </w:p>
        </w:tc>
      </w:tr>
      <w:tr w:rsidR="00653A61" w14:paraId="0A8A09F0"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4864D7AB" w14:textId="77777777" w:rsidR="00653A61" w:rsidRDefault="00653A61">
            <w:pPr>
              <w:spacing w:after="0" w:line="240" w:lineRule="auto"/>
              <w:jc w:val="center"/>
              <w:rPr>
                <w:rFonts w:ascii="Arial" w:hAnsi="Arial" w:cs="Arial"/>
                <w:sz w:val="24"/>
                <w:szCs w:val="24"/>
              </w:rPr>
            </w:pPr>
          </w:p>
          <w:p w14:paraId="5FB2A8E4" w14:textId="77777777" w:rsidR="00653A61" w:rsidRDefault="00653A61">
            <w:pPr>
              <w:spacing w:after="0" w:line="240" w:lineRule="auto"/>
              <w:jc w:val="center"/>
              <w:rPr>
                <w:rFonts w:ascii="Arial" w:hAnsi="Arial" w:cs="Arial"/>
                <w:sz w:val="24"/>
                <w:szCs w:val="24"/>
              </w:rPr>
            </w:pPr>
          </w:p>
          <w:p w14:paraId="640610A3"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t>Estrato</w:t>
            </w:r>
          </w:p>
        </w:tc>
        <w:tc>
          <w:tcPr>
            <w:tcW w:w="3119" w:type="dxa"/>
          </w:tcPr>
          <w:p w14:paraId="57B926F0" w14:textId="77777777" w:rsidR="00653A61" w:rsidRDefault="0056372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Estrato 1</w:t>
            </w:r>
          </w:p>
        </w:tc>
        <w:tc>
          <w:tcPr>
            <w:tcW w:w="1740" w:type="dxa"/>
          </w:tcPr>
          <w:p w14:paraId="7517AA56"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6</w:t>
            </w:r>
          </w:p>
        </w:tc>
        <w:tc>
          <w:tcPr>
            <w:tcW w:w="2132" w:type="dxa"/>
          </w:tcPr>
          <w:p w14:paraId="27EEADB0"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1,7%</w:t>
            </w:r>
          </w:p>
        </w:tc>
      </w:tr>
      <w:tr w:rsidR="00653A61" w14:paraId="5E5F0E2A"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6CABFD39" w14:textId="77777777" w:rsidR="00653A61" w:rsidRDefault="00653A61">
            <w:pPr>
              <w:spacing w:after="0" w:line="240" w:lineRule="auto"/>
              <w:jc w:val="center"/>
              <w:rPr>
                <w:rFonts w:ascii="Arial" w:hAnsi="Arial" w:cs="Arial"/>
                <w:sz w:val="24"/>
                <w:szCs w:val="24"/>
              </w:rPr>
            </w:pPr>
          </w:p>
        </w:tc>
        <w:tc>
          <w:tcPr>
            <w:tcW w:w="3119" w:type="dxa"/>
          </w:tcPr>
          <w:p w14:paraId="1D1E6706"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Estrato 2</w:t>
            </w:r>
          </w:p>
        </w:tc>
        <w:tc>
          <w:tcPr>
            <w:tcW w:w="1740" w:type="dxa"/>
          </w:tcPr>
          <w:p w14:paraId="326319A3"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33</w:t>
            </w:r>
          </w:p>
        </w:tc>
        <w:tc>
          <w:tcPr>
            <w:tcW w:w="2132" w:type="dxa"/>
          </w:tcPr>
          <w:p w14:paraId="1EDB4E7F"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8,9%</w:t>
            </w:r>
          </w:p>
        </w:tc>
      </w:tr>
      <w:tr w:rsidR="00653A61" w14:paraId="4DEB0A8D"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7FAF4BA7" w14:textId="77777777" w:rsidR="00653A61" w:rsidRDefault="00653A61">
            <w:pPr>
              <w:spacing w:after="0" w:line="240" w:lineRule="auto"/>
              <w:jc w:val="center"/>
              <w:rPr>
                <w:rFonts w:ascii="Arial" w:hAnsi="Arial" w:cs="Arial"/>
                <w:sz w:val="24"/>
                <w:szCs w:val="24"/>
              </w:rPr>
            </w:pPr>
          </w:p>
        </w:tc>
        <w:tc>
          <w:tcPr>
            <w:tcW w:w="3119" w:type="dxa"/>
          </w:tcPr>
          <w:p w14:paraId="02F6432D" w14:textId="77777777" w:rsidR="00653A61" w:rsidRDefault="0056372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 xml:space="preserve">Estrato 3 </w:t>
            </w:r>
          </w:p>
        </w:tc>
        <w:tc>
          <w:tcPr>
            <w:tcW w:w="1740" w:type="dxa"/>
          </w:tcPr>
          <w:p w14:paraId="3C7BD26A"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110</w:t>
            </w:r>
          </w:p>
        </w:tc>
        <w:tc>
          <w:tcPr>
            <w:tcW w:w="2132" w:type="dxa"/>
          </w:tcPr>
          <w:p w14:paraId="754407C5"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29,8%</w:t>
            </w:r>
          </w:p>
        </w:tc>
      </w:tr>
      <w:tr w:rsidR="00653A61" w14:paraId="12097627"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4D0091F9" w14:textId="77777777" w:rsidR="00653A61" w:rsidRDefault="00653A61">
            <w:pPr>
              <w:spacing w:after="0" w:line="240" w:lineRule="auto"/>
              <w:jc w:val="center"/>
              <w:rPr>
                <w:rFonts w:ascii="Arial" w:hAnsi="Arial" w:cs="Arial"/>
                <w:sz w:val="24"/>
                <w:szCs w:val="24"/>
              </w:rPr>
            </w:pPr>
          </w:p>
        </w:tc>
        <w:tc>
          <w:tcPr>
            <w:tcW w:w="3119" w:type="dxa"/>
          </w:tcPr>
          <w:p w14:paraId="29ECD3A0"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Estrato 4</w:t>
            </w:r>
          </w:p>
        </w:tc>
        <w:tc>
          <w:tcPr>
            <w:tcW w:w="1740" w:type="dxa"/>
          </w:tcPr>
          <w:p w14:paraId="7D7F769D"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126</w:t>
            </w:r>
          </w:p>
        </w:tc>
        <w:tc>
          <w:tcPr>
            <w:tcW w:w="2132" w:type="dxa"/>
          </w:tcPr>
          <w:p w14:paraId="1DF66EE8"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34%</w:t>
            </w:r>
          </w:p>
        </w:tc>
      </w:tr>
      <w:tr w:rsidR="00653A61" w14:paraId="054A4F22"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10066EAB" w14:textId="77777777" w:rsidR="00653A61" w:rsidRDefault="00653A61">
            <w:pPr>
              <w:spacing w:after="0" w:line="240" w:lineRule="auto"/>
              <w:jc w:val="center"/>
              <w:rPr>
                <w:rFonts w:ascii="Arial" w:hAnsi="Arial" w:cs="Arial"/>
                <w:sz w:val="24"/>
                <w:szCs w:val="24"/>
              </w:rPr>
            </w:pPr>
          </w:p>
        </w:tc>
        <w:tc>
          <w:tcPr>
            <w:tcW w:w="3119" w:type="dxa"/>
          </w:tcPr>
          <w:p w14:paraId="61D047F2" w14:textId="77777777" w:rsidR="00653A61" w:rsidRDefault="0056372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Estrato 5</w:t>
            </w:r>
          </w:p>
        </w:tc>
        <w:tc>
          <w:tcPr>
            <w:tcW w:w="1740" w:type="dxa"/>
          </w:tcPr>
          <w:p w14:paraId="0E65071A"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63</w:t>
            </w:r>
          </w:p>
        </w:tc>
        <w:tc>
          <w:tcPr>
            <w:tcW w:w="2132" w:type="dxa"/>
          </w:tcPr>
          <w:p w14:paraId="54CE3168"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17%</w:t>
            </w:r>
          </w:p>
        </w:tc>
      </w:tr>
      <w:tr w:rsidR="00653A61" w14:paraId="35576618"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0ECA717E" w14:textId="77777777" w:rsidR="00653A61" w:rsidRDefault="00653A61">
            <w:pPr>
              <w:spacing w:after="0" w:line="240" w:lineRule="auto"/>
              <w:jc w:val="center"/>
              <w:rPr>
                <w:rFonts w:ascii="Arial" w:hAnsi="Arial" w:cs="Arial"/>
                <w:sz w:val="24"/>
                <w:szCs w:val="24"/>
              </w:rPr>
            </w:pPr>
          </w:p>
        </w:tc>
        <w:tc>
          <w:tcPr>
            <w:tcW w:w="3119" w:type="dxa"/>
          </w:tcPr>
          <w:p w14:paraId="0770B3B6"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Estrato 6</w:t>
            </w:r>
          </w:p>
        </w:tc>
        <w:tc>
          <w:tcPr>
            <w:tcW w:w="1740" w:type="dxa"/>
          </w:tcPr>
          <w:p w14:paraId="09AB04CB"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27</w:t>
            </w:r>
          </w:p>
        </w:tc>
        <w:tc>
          <w:tcPr>
            <w:tcW w:w="2132" w:type="dxa"/>
          </w:tcPr>
          <w:p w14:paraId="00E391A7"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7,3%</w:t>
            </w:r>
          </w:p>
        </w:tc>
      </w:tr>
      <w:tr w:rsidR="00653A61" w14:paraId="593FAB87"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74F489EC" w14:textId="77777777" w:rsidR="00653A61" w:rsidRDefault="00653A61">
            <w:pPr>
              <w:spacing w:after="0" w:line="240" w:lineRule="auto"/>
              <w:jc w:val="center"/>
              <w:rPr>
                <w:rFonts w:ascii="Arial" w:hAnsi="Arial" w:cs="Arial"/>
                <w:sz w:val="24"/>
                <w:szCs w:val="24"/>
              </w:rPr>
            </w:pPr>
          </w:p>
        </w:tc>
        <w:tc>
          <w:tcPr>
            <w:tcW w:w="3119" w:type="dxa"/>
          </w:tcPr>
          <w:p w14:paraId="645C1AF4" w14:textId="77777777" w:rsidR="00653A61" w:rsidRDefault="0056372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No sabe</w:t>
            </w:r>
          </w:p>
        </w:tc>
        <w:tc>
          <w:tcPr>
            <w:tcW w:w="1740" w:type="dxa"/>
          </w:tcPr>
          <w:p w14:paraId="3C8300BF"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5</w:t>
            </w:r>
          </w:p>
        </w:tc>
        <w:tc>
          <w:tcPr>
            <w:tcW w:w="2132" w:type="dxa"/>
          </w:tcPr>
          <w:p w14:paraId="08C06DC4"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1,3%</w:t>
            </w:r>
          </w:p>
        </w:tc>
      </w:tr>
      <w:tr w:rsidR="00653A61" w14:paraId="0516BBE0"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7AA44423" w14:textId="77777777" w:rsidR="00653A61" w:rsidRDefault="00653A61">
            <w:pPr>
              <w:spacing w:after="0" w:line="240" w:lineRule="auto"/>
              <w:jc w:val="center"/>
              <w:rPr>
                <w:rFonts w:ascii="Arial" w:hAnsi="Arial" w:cs="Arial"/>
                <w:b w:val="0"/>
                <w:bCs w:val="0"/>
                <w:sz w:val="24"/>
                <w:szCs w:val="24"/>
              </w:rPr>
            </w:pPr>
          </w:p>
          <w:p w14:paraId="0AD6FAB7" w14:textId="77777777" w:rsidR="00653A61" w:rsidRDefault="00563720">
            <w:pPr>
              <w:spacing w:after="0" w:line="240" w:lineRule="auto"/>
              <w:jc w:val="center"/>
              <w:rPr>
                <w:rFonts w:ascii="Arial" w:hAnsi="Arial" w:cs="Arial"/>
                <w:b w:val="0"/>
                <w:bCs w:val="0"/>
                <w:sz w:val="24"/>
                <w:szCs w:val="24"/>
              </w:rPr>
            </w:pPr>
            <w:r>
              <w:rPr>
                <w:rFonts w:ascii="Arial" w:eastAsia="Calibri" w:hAnsi="Arial" w:cs="Arial"/>
                <w:b w:val="0"/>
                <w:bCs w:val="0"/>
                <w:sz w:val="24"/>
                <w:szCs w:val="24"/>
              </w:rPr>
              <w:lastRenderedPageBreak/>
              <w:t>Frecuencia de compra</w:t>
            </w:r>
          </w:p>
        </w:tc>
        <w:tc>
          <w:tcPr>
            <w:tcW w:w="3119" w:type="dxa"/>
          </w:tcPr>
          <w:p w14:paraId="745CE5AA"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lastRenderedPageBreak/>
              <w:t>Muy frecuente</w:t>
            </w:r>
          </w:p>
        </w:tc>
        <w:tc>
          <w:tcPr>
            <w:tcW w:w="1740" w:type="dxa"/>
          </w:tcPr>
          <w:p w14:paraId="2AE3AAE3"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59</w:t>
            </w:r>
          </w:p>
        </w:tc>
        <w:tc>
          <w:tcPr>
            <w:tcW w:w="2132" w:type="dxa"/>
          </w:tcPr>
          <w:p w14:paraId="7B1F9151"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15,9%</w:t>
            </w:r>
          </w:p>
        </w:tc>
      </w:tr>
      <w:tr w:rsidR="00653A61" w14:paraId="39BA9FB6"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54324622" w14:textId="77777777" w:rsidR="00653A61" w:rsidRDefault="00653A61">
            <w:pPr>
              <w:spacing w:after="0" w:line="240" w:lineRule="auto"/>
              <w:jc w:val="center"/>
              <w:rPr>
                <w:rFonts w:ascii="Arial" w:hAnsi="Arial" w:cs="Arial"/>
                <w:sz w:val="24"/>
                <w:szCs w:val="24"/>
              </w:rPr>
            </w:pPr>
          </w:p>
        </w:tc>
        <w:tc>
          <w:tcPr>
            <w:tcW w:w="3119" w:type="dxa"/>
          </w:tcPr>
          <w:p w14:paraId="27B96450" w14:textId="77777777" w:rsidR="00653A61" w:rsidRDefault="0056372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 xml:space="preserve">Frecuentemente </w:t>
            </w:r>
          </w:p>
        </w:tc>
        <w:tc>
          <w:tcPr>
            <w:tcW w:w="1740" w:type="dxa"/>
          </w:tcPr>
          <w:p w14:paraId="0E4A225D"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99</w:t>
            </w:r>
          </w:p>
        </w:tc>
        <w:tc>
          <w:tcPr>
            <w:tcW w:w="2132" w:type="dxa"/>
          </w:tcPr>
          <w:p w14:paraId="4D150055"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26,8%</w:t>
            </w:r>
          </w:p>
        </w:tc>
      </w:tr>
      <w:tr w:rsidR="00653A61" w14:paraId="6EC7FA1E"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478DD2FF" w14:textId="77777777" w:rsidR="00653A61" w:rsidRDefault="00653A61">
            <w:pPr>
              <w:spacing w:after="0" w:line="240" w:lineRule="auto"/>
              <w:jc w:val="center"/>
              <w:rPr>
                <w:rFonts w:ascii="Arial" w:hAnsi="Arial" w:cs="Arial"/>
                <w:sz w:val="24"/>
                <w:szCs w:val="24"/>
              </w:rPr>
            </w:pPr>
          </w:p>
        </w:tc>
        <w:tc>
          <w:tcPr>
            <w:tcW w:w="3119" w:type="dxa"/>
          </w:tcPr>
          <w:p w14:paraId="26E45E39"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Ocasionalmente</w:t>
            </w:r>
          </w:p>
        </w:tc>
        <w:tc>
          <w:tcPr>
            <w:tcW w:w="1740" w:type="dxa"/>
          </w:tcPr>
          <w:p w14:paraId="21FF8587"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158</w:t>
            </w:r>
          </w:p>
        </w:tc>
        <w:tc>
          <w:tcPr>
            <w:tcW w:w="2132" w:type="dxa"/>
          </w:tcPr>
          <w:p w14:paraId="62B25732"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42,7%</w:t>
            </w:r>
          </w:p>
        </w:tc>
      </w:tr>
      <w:tr w:rsidR="00653A61" w14:paraId="0FD9CD40" w14:textId="77777777" w:rsidTr="00653A61">
        <w:trPr>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08D352C1" w14:textId="77777777" w:rsidR="00653A61" w:rsidRDefault="00653A61">
            <w:pPr>
              <w:spacing w:after="0" w:line="240" w:lineRule="auto"/>
              <w:jc w:val="center"/>
              <w:rPr>
                <w:rFonts w:ascii="Arial" w:hAnsi="Arial" w:cs="Arial"/>
                <w:sz w:val="24"/>
                <w:szCs w:val="24"/>
              </w:rPr>
            </w:pPr>
          </w:p>
        </w:tc>
        <w:tc>
          <w:tcPr>
            <w:tcW w:w="3119" w:type="dxa"/>
          </w:tcPr>
          <w:p w14:paraId="2E1A6159" w14:textId="77777777" w:rsidR="00653A61" w:rsidRDefault="0056372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Rara vez</w:t>
            </w:r>
          </w:p>
        </w:tc>
        <w:tc>
          <w:tcPr>
            <w:tcW w:w="1740" w:type="dxa"/>
          </w:tcPr>
          <w:p w14:paraId="451565C1"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53</w:t>
            </w:r>
          </w:p>
        </w:tc>
        <w:tc>
          <w:tcPr>
            <w:tcW w:w="2132" w:type="dxa"/>
          </w:tcPr>
          <w:p w14:paraId="60ED6F75" w14:textId="77777777" w:rsidR="00653A61" w:rsidRDefault="005637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14,3%</w:t>
            </w:r>
          </w:p>
        </w:tc>
      </w:tr>
      <w:tr w:rsidR="00653A61" w14:paraId="3C55B693" w14:textId="77777777" w:rsidTr="00653A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7" w:type="dxa"/>
            <w:vMerge/>
          </w:tcPr>
          <w:p w14:paraId="31A3B963" w14:textId="77777777" w:rsidR="00653A61" w:rsidRDefault="00653A61">
            <w:pPr>
              <w:spacing w:after="0" w:line="240" w:lineRule="auto"/>
              <w:jc w:val="center"/>
              <w:rPr>
                <w:rFonts w:ascii="Arial" w:hAnsi="Arial" w:cs="Arial"/>
                <w:sz w:val="24"/>
                <w:szCs w:val="24"/>
              </w:rPr>
            </w:pPr>
          </w:p>
        </w:tc>
        <w:tc>
          <w:tcPr>
            <w:tcW w:w="3119" w:type="dxa"/>
          </w:tcPr>
          <w:p w14:paraId="710BDA16" w14:textId="77777777" w:rsidR="00653A61" w:rsidRDefault="00563720">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Nuca</w:t>
            </w:r>
          </w:p>
        </w:tc>
        <w:tc>
          <w:tcPr>
            <w:tcW w:w="1740" w:type="dxa"/>
          </w:tcPr>
          <w:p w14:paraId="6EBA7700"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1</w:t>
            </w:r>
          </w:p>
        </w:tc>
        <w:tc>
          <w:tcPr>
            <w:tcW w:w="2132" w:type="dxa"/>
          </w:tcPr>
          <w:p w14:paraId="02742255" w14:textId="77777777" w:rsidR="00653A61" w:rsidRDefault="005637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0,3%</w:t>
            </w:r>
          </w:p>
        </w:tc>
      </w:tr>
    </w:tbl>
    <w:p w14:paraId="3F49F8E0" w14:textId="77777777" w:rsidR="00653A61" w:rsidRDefault="00653A61">
      <w:pPr>
        <w:jc w:val="both"/>
        <w:rPr>
          <w:rFonts w:ascii="Arial" w:hAnsi="Arial" w:cs="Arial"/>
          <w:b/>
          <w:bCs/>
          <w:color w:val="2E74B5" w:themeColor="accent1" w:themeShade="BF"/>
          <w:sz w:val="24"/>
          <w:szCs w:val="24"/>
        </w:rPr>
      </w:pPr>
    </w:p>
    <w:p w14:paraId="13DD8132"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Fuente: </w:t>
      </w:r>
      <w:r>
        <w:rPr>
          <w:rFonts w:ascii="Arial" w:hAnsi="Arial" w:cs="Arial"/>
          <w:color w:val="2E74B5" w:themeColor="accent1" w:themeShade="BF"/>
          <w:sz w:val="24"/>
          <w:szCs w:val="24"/>
        </w:rPr>
        <w:t>Elaboración propia</w:t>
      </w:r>
    </w:p>
    <w:p w14:paraId="33B20A25" w14:textId="77777777" w:rsidR="00653A61" w:rsidRDefault="00653A61">
      <w:pPr>
        <w:jc w:val="both"/>
        <w:rPr>
          <w:rFonts w:ascii="Arial" w:hAnsi="Arial" w:cs="Arial"/>
          <w:color w:val="2E74B5" w:themeColor="accent1" w:themeShade="BF"/>
          <w:sz w:val="24"/>
          <w:szCs w:val="24"/>
        </w:rPr>
      </w:pPr>
    </w:p>
    <w:p w14:paraId="503C030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la tabla anterior se presentan los resultados correspondientes a los ingresos mensuales, el estrato socioeconómico y la frecuencia de compra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de los participantes incluidos en la muestra, aspectos relevantes para comprender el contexto de consumo de ellos. En relación con los ingresos mensuales, el mayor porcentaje corresponde a participantes con ingresos entre 1 y 2 SMMLV (32,1%), seguido de quienes reportaron ingresos superiores a 3 SMMLV (30,3%). Respecto al estrato socioeconómico, predominan los participantes pertenecientes a los estratos 3 y 4, con un 29,8% y 34%, respectivamente. Finalmente, en cuanto a la frecuencia de compra, el 42,7% de los encuestados indicó realizar compras ocasionalmente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seguido por quienes afirmaron comprar frecuentemente, correspondientes al 26,8% de la muestra.</w:t>
      </w:r>
    </w:p>
    <w:p w14:paraId="294C4E34" w14:textId="77777777" w:rsidR="00653A61" w:rsidRDefault="00653A61">
      <w:pPr>
        <w:jc w:val="both"/>
        <w:rPr>
          <w:rFonts w:ascii="Arial" w:hAnsi="Arial" w:cs="Arial"/>
          <w:color w:val="2E74B5" w:themeColor="accent1" w:themeShade="BF"/>
          <w:sz w:val="24"/>
          <w:szCs w:val="24"/>
        </w:rPr>
      </w:pPr>
    </w:p>
    <w:p w14:paraId="6F60D8A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Finalmente, la aplicación del instrumento como se mencionó anteriormente permitió recolectar inicialmente 370 respuestas. Sin embargo, en las respuestas de la sección demográfica se identificó que uno de los registros correspondía a un participante que indicó en la pregunta filtro no haber realizado compras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por lo que no cumplía con los criterios de inclusión definidos para la investigación. </w:t>
      </w:r>
    </w:p>
    <w:p w14:paraId="7163C472" w14:textId="77777777" w:rsidR="00653A61" w:rsidRDefault="00653A61">
      <w:pPr>
        <w:jc w:val="both"/>
        <w:rPr>
          <w:rFonts w:ascii="Arial" w:hAnsi="Arial" w:cs="Arial"/>
          <w:color w:val="2E74B5" w:themeColor="accent1" w:themeShade="BF"/>
          <w:sz w:val="24"/>
          <w:szCs w:val="24"/>
        </w:rPr>
      </w:pPr>
    </w:p>
    <w:p w14:paraId="1B74448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Adicionalmente, para los procedimientos estadísticos que requerían información completa en todos los ítems, el software SPSS aplicó eliminación por lista (</w:t>
      </w:r>
      <w:proofErr w:type="spellStart"/>
      <w:r>
        <w:rPr>
          <w:rFonts w:ascii="Arial" w:hAnsi="Arial" w:cs="Arial"/>
          <w:color w:val="2E74B5" w:themeColor="accent1" w:themeShade="BF"/>
          <w:sz w:val="24"/>
          <w:szCs w:val="24"/>
        </w:rPr>
        <w:t>listwise</w:t>
      </w:r>
      <w:proofErr w:type="spellEnd"/>
      <w:r>
        <w:rPr>
          <w:rFonts w:ascii="Arial" w:hAnsi="Arial" w:cs="Arial"/>
          <w:color w:val="2E74B5" w:themeColor="accent1" w:themeShade="BF"/>
          <w:sz w:val="24"/>
          <w:szCs w:val="24"/>
        </w:rPr>
        <w:t xml:space="preserve"> </w:t>
      </w:r>
      <w:proofErr w:type="spellStart"/>
      <w:r>
        <w:rPr>
          <w:rFonts w:ascii="Arial" w:hAnsi="Arial" w:cs="Arial"/>
          <w:color w:val="2E74B5" w:themeColor="accent1" w:themeShade="BF"/>
          <w:sz w:val="24"/>
          <w:szCs w:val="24"/>
        </w:rPr>
        <w:t>deletion</w:t>
      </w:r>
      <w:proofErr w:type="spellEnd"/>
      <w:r>
        <w:rPr>
          <w:rFonts w:ascii="Arial" w:hAnsi="Arial" w:cs="Arial"/>
          <w:color w:val="2E74B5" w:themeColor="accent1" w:themeShade="BF"/>
          <w:sz w:val="24"/>
          <w:szCs w:val="24"/>
        </w:rPr>
        <w:t>). En consecuencia, los análisis de fiabilidad y análisis factorial se realizaron con un total de 369 casos válidos.</w:t>
      </w:r>
    </w:p>
    <w:p w14:paraId="56758CF0" w14:textId="77777777" w:rsidR="00653A61" w:rsidRDefault="00653A61">
      <w:pPr>
        <w:jc w:val="both"/>
        <w:rPr>
          <w:rFonts w:ascii="Arial" w:hAnsi="Arial" w:cs="Arial"/>
          <w:color w:val="2E74B5" w:themeColor="accent1" w:themeShade="BF"/>
          <w:sz w:val="24"/>
          <w:szCs w:val="24"/>
        </w:rPr>
      </w:pPr>
    </w:p>
    <w:p w14:paraId="76ACBF3B"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3.3 Estadísticos descriptivos de las variables</w:t>
      </w:r>
    </w:p>
    <w:p w14:paraId="5C3137CA" w14:textId="77777777" w:rsidR="00653A61" w:rsidRDefault="00653A61">
      <w:pPr>
        <w:jc w:val="both"/>
        <w:rPr>
          <w:rFonts w:ascii="Arial" w:hAnsi="Arial" w:cs="Arial"/>
          <w:b/>
          <w:bCs/>
          <w:color w:val="2E74B5" w:themeColor="accent1" w:themeShade="BF"/>
          <w:sz w:val="24"/>
          <w:szCs w:val="24"/>
        </w:rPr>
      </w:pPr>
    </w:p>
    <w:p w14:paraId="673615E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Con el propósito de identificar tendencias generales en las variables analizadas, se calcularon estadísticos descriptivos para las dimensiones asociadas a las </w:t>
      </w:r>
      <w:r>
        <w:rPr>
          <w:rFonts w:ascii="Arial" w:hAnsi="Arial" w:cs="Arial"/>
          <w:color w:val="2E74B5" w:themeColor="accent1" w:themeShade="BF"/>
          <w:sz w:val="24"/>
          <w:szCs w:val="24"/>
        </w:rPr>
        <w:lastRenderedPageBreak/>
        <w:t>respuestas emocionales vinculadas a la experiencia digital, el comportamiento de compra y la preferencia por marcas locales de moda.</w:t>
      </w:r>
    </w:p>
    <w:p w14:paraId="20F215E2" w14:textId="77777777" w:rsidR="00653A61" w:rsidRDefault="00653A61">
      <w:pPr>
        <w:jc w:val="both"/>
        <w:rPr>
          <w:rFonts w:ascii="Arial" w:hAnsi="Arial" w:cs="Arial"/>
          <w:color w:val="2E74B5" w:themeColor="accent1" w:themeShade="BF"/>
          <w:sz w:val="24"/>
          <w:szCs w:val="24"/>
        </w:rPr>
      </w:pPr>
    </w:p>
    <w:p w14:paraId="023E3AF9" w14:textId="192FFFA0"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Tabla </w:t>
      </w:r>
      <w:r w:rsidR="00C11C62">
        <w:rPr>
          <w:rFonts w:ascii="Arial" w:hAnsi="Arial" w:cs="Arial"/>
          <w:color w:val="2E74B5" w:themeColor="accent1" w:themeShade="BF"/>
          <w:sz w:val="24"/>
          <w:szCs w:val="24"/>
        </w:rPr>
        <w:t>9</w:t>
      </w:r>
      <w:r>
        <w:rPr>
          <w:rFonts w:ascii="Arial" w:hAnsi="Arial" w:cs="Arial"/>
          <w:color w:val="2E74B5" w:themeColor="accent1" w:themeShade="BF"/>
          <w:sz w:val="24"/>
          <w:szCs w:val="24"/>
        </w:rPr>
        <w:t>: Estadísticas de total de ítems y consistencia interna</w:t>
      </w:r>
    </w:p>
    <w:p w14:paraId="22697F21" w14:textId="77777777" w:rsidR="00653A61" w:rsidRDefault="00653A61">
      <w:pPr>
        <w:jc w:val="both"/>
        <w:rPr>
          <w:rFonts w:ascii="Arial" w:hAnsi="Arial" w:cs="Arial"/>
          <w:color w:val="2E74B5" w:themeColor="accent1" w:themeShade="BF"/>
          <w:sz w:val="24"/>
          <w:szCs w:val="24"/>
        </w:rPr>
      </w:pPr>
    </w:p>
    <w:tbl>
      <w:tblPr>
        <w:tblW w:w="8823" w:type="dxa"/>
        <w:tblLayout w:type="fixed"/>
        <w:tblCellMar>
          <w:top w:w="15" w:type="dxa"/>
          <w:left w:w="15" w:type="dxa"/>
          <w:bottom w:w="15" w:type="dxa"/>
          <w:right w:w="15" w:type="dxa"/>
        </w:tblCellMar>
        <w:tblLook w:val="04A0" w:firstRow="1" w:lastRow="0" w:firstColumn="1" w:lastColumn="0" w:noHBand="0" w:noVBand="1"/>
      </w:tblPr>
      <w:tblGrid>
        <w:gridCol w:w="3719"/>
        <w:gridCol w:w="492"/>
        <w:gridCol w:w="930"/>
        <w:gridCol w:w="983"/>
        <w:gridCol w:w="959"/>
        <w:gridCol w:w="1740"/>
      </w:tblGrid>
      <w:tr w:rsidR="00804FF7" w14:paraId="6068C8AF" w14:textId="77777777" w:rsidTr="007C41D0">
        <w:trPr>
          <w:tblHeader/>
        </w:trPr>
        <w:tc>
          <w:tcPr>
            <w:tcW w:w="3719" w:type="dxa"/>
            <w:tcBorders>
              <w:top w:val="double" w:sz="2" w:space="0" w:color="5B9BD5"/>
              <w:left w:val="double" w:sz="2" w:space="0" w:color="5B9BD5"/>
              <w:bottom w:val="double" w:sz="2" w:space="0" w:color="5B9BD5"/>
              <w:right w:val="double" w:sz="2" w:space="0" w:color="5B9BD5"/>
            </w:tcBorders>
            <w:vAlign w:val="center"/>
          </w:tcPr>
          <w:p w14:paraId="03A1FD54" w14:textId="77777777" w:rsidR="00804FF7" w:rsidRDefault="00804FF7" w:rsidP="007C41D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Variable</w:t>
            </w:r>
          </w:p>
        </w:tc>
        <w:tc>
          <w:tcPr>
            <w:tcW w:w="492" w:type="dxa"/>
            <w:tcBorders>
              <w:top w:val="double" w:sz="2" w:space="0" w:color="5B9BD5"/>
              <w:left w:val="double" w:sz="2" w:space="0" w:color="5B9BD5"/>
              <w:bottom w:val="double" w:sz="2" w:space="0" w:color="5B9BD5"/>
              <w:right w:val="double" w:sz="2" w:space="0" w:color="5B9BD5"/>
            </w:tcBorders>
            <w:vAlign w:val="center"/>
          </w:tcPr>
          <w:p w14:paraId="788041C0" w14:textId="77777777" w:rsidR="00804FF7" w:rsidRDefault="00804FF7" w:rsidP="007C41D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N</w:t>
            </w:r>
          </w:p>
        </w:tc>
        <w:tc>
          <w:tcPr>
            <w:tcW w:w="930" w:type="dxa"/>
            <w:tcBorders>
              <w:top w:val="double" w:sz="2" w:space="0" w:color="5B9BD5"/>
              <w:left w:val="double" w:sz="2" w:space="0" w:color="5B9BD5"/>
              <w:bottom w:val="double" w:sz="2" w:space="0" w:color="5B9BD5"/>
              <w:right w:val="double" w:sz="2" w:space="0" w:color="5B9BD5"/>
            </w:tcBorders>
            <w:vAlign w:val="center"/>
          </w:tcPr>
          <w:p w14:paraId="6B675277" w14:textId="77777777" w:rsidR="00804FF7" w:rsidRDefault="00804FF7" w:rsidP="007C41D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Mínimo</w:t>
            </w:r>
          </w:p>
        </w:tc>
        <w:tc>
          <w:tcPr>
            <w:tcW w:w="983" w:type="dxa"/>
            <w:tcBorders>
              <w:top w:val="double" w:sz="2" w:space="0" w:color="5B9BD5"/>
              <w:left w:val="double" w:sz="2" w:space="0" w:color="5B9BD5"/>
              <w:bottom w:val="double" w:sz="2" w:space="0" w:color="5B9BD5"/>
              <w:right w:val="double" w:sz="2" w:space="0" w:color="5B9BD5"/>
            </w:tcBorders>
            <w:vAlign w:val="center"/>
          </w:tcPr>
          <w:p w14:paraId="75D398D6" w14:textId="77777777" w:rsidR="00804FF7" w:rsidRDefault="00804FF7" w:rsidP="007C41D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Máximo</w:t>
            </w:r>
          </w:p>
        </w:tc>
        <w:tc>
          <w:tcPr>
            <w:tcW w:w="959" w:type="dxa"/>
            <w:tcBorders>
              <w:top w:val="double" w:sz="2" w:space="0" w:color="5B9BD5"/>
              <w:left w:val="double" w:sz="2" w:space="0" w:color="5B9BD5"/>
              <w:bottom w:val="double" w:sz="2" w:space="0" w:color="5B9BD5"/>
              <w:right w:val="double" w:sz="2" w:space="0" w:color="5B9BD5"/>
            </w:tcBorders>
            <w:vAlign w:val="center"/>
          </w:tcPr>
          <w:p w14:paraId="519B4273" w14:textId="77777777" w:rsidR="00804FF7" w:rsidRDefault="00804FF7" w:rsidP="007C41D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Media</w:t>
            </w:r>
          </w:p>
        </w:tc>
        <w:tc>
          <w:tcPr>
            <w:tcW w:w="1740" w:type="dxa"/>
            <w:tcBorders>
              <w:top w:val="double" w:sz="2" w:space="0" w:color="5B9BD5"/>
              <w:left w:val="double" w:sz="2" w:space="0" w:color="5B9BD5"/>
              <w:bottom w:val="double" w:sz="2" w:space="0" w:color="5B9BD5"/>
              <w:right w:val="double" w:sz="2" w:space="0" w:color="5B9BD5"/>
            </w:tcBorders>
            <w:vAlign w:val="center"/>
          </w:tcPr>
          <w:p w14:paraId="4C512798" w14:textId="77777777" w:rsidR="00804FF7" w:rsidRDefault="00804FF7" w:rsidP="007C41D0">
            <w:pPr>
              <w:spacing w:after="0" w:line="240" w:lineRule="auto"/>
              <w:jc w:val="center"/>
              <w:rPr>
                <w:rFonts w:ascii="Arial" w:eastAsia="Times New Roman" w:hAnsi="Arial" w:cs="Arial"/>
                <w:b/>
                <w:bCs/>
                <w:color w:val="2E74B5" w:themeColor="accent1" w:themeShade="BF"/>
                <w:sz w:val="24"/>
                <w:szCs w:val="24"/>
                <w:lang w:eastAsia="es-CO"/>
              </w:rPr>
            </w:pPr>
            <w:proofErr w:type="spellStart"/>
            <w:r>
              <w:rPr>
                <w:rFonts w:ascii="Arial" w:eastAsia="Times New Roman" w:hAnsi="Arial" w:cs="Arial"/>
                <w:b/>
                <w:bCs/>
                <w:color w:val="2E74B5" w:themeColor="accent1" w:themeShade="BF"/>
                <w:sz w:val="24"/>
                <w:szCs w:val="24"/>
                <w:lang w:eastAsia="es-CO"/>
              </w:rPr>
              <w:t>Desv</w:t>
            </w:r>
            <w:proofErr w:type="spellEnd"/>
            <w:r>
              <w:rPr>
                <w:rFonts w:ascii="Arial" w:eastAsia="Times New Roman" w:hAnsi="Arial" w:cs="Arial"/>
                <w:b/>
                <w:bCs/>
                <w:color w:val="2E74B5" w:themeColor="accent1" w:themeShade="BF"/>
                <w:sz w:val="24"/>
                <w:szCs w:val="24"/>
                <w:lang w:eastAsia="es-CO"/>
              </w:rPr>
              <w:t>. estándar</w:t>
            </w:r>
          </w:p>
        </w:tc>
      </w:tr>
      <w:tr w:rsidR="00804FF7" w14:paraId="56402618" w14:textId="77777777" w:rsidTr="007C41D0">
        <w:tc>
          <w:tcPr>
            <w:tcW w:w="3719" w:type="dxa"/>
            <w:tcBorders>
              <w:top w:val="double" w:sz="2" w:space="0" w:color="5B9BD5"/>
              <w:left w:val="double" w:sz="2" w:space="0" w:color="5B9BD5"/>
              <w:bottom w:val="double" w:sz="2" w:space="0" w:color="5B9BD5"/>
              <w:right w:val="double" w:sz="2" w:space="0" w:color="5B9BD5"/>
            </w:tcBorders>
            <w:vAlign w:val="center"/>
          </w:tcPr>
          <w:p w14:paraId="2EE7D2F1"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Activación emocional (AE)</w:t>
            </w:r>
          </w:p>
        </w:tc>
        <w:tc>
          <w:tcPr>
            <w:tcW w:w="492" w:type="dxa"/>
            <w:tcBorders>
              <w:top w:val="double" w:sz="2" w:space="0" w:color="5B9BD5"/>
              <w:left w:val="double" w:sz="2" w:space="0" w:color="5B9BD5"/>
              <w:bottom w:val="double" w:sz="2" w:space="0" w:color="5B9BD5"/>
              <w:right w:val="double" w:sz="2" w:space="0" w:color="5B9BD5"/>
            </w:tcBorders>
            <w:vAlign w:val="center"/>
          </w:tcPr>
          <w:p w14:paraId="0E943A93"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369</w:t>
            </w:r>
          </w:p>
        </w:tc>
        <w:tc>
          <w:tcPr>
            <w:tcW w:w="930" w:type="dxa"/>
            <w:tcBorders>
              <w:top w:val="double" w:sz="2" w:space="0" w:color="5B9BD5"/>
              <w:left w:val="double" w:sz="2" w:space="0" w:color="5B9BD5"/>
              <w:bottom w:val="double" w:sz="2" w:space="0" w:color="5B9BD5"/>
              <w:right w:val="double" w:sz="2" w:space="0" w:color="5B9BD5"/>
            </w:tcBorders>
            <w:vAlign w:val="center"/>
          </w:tcPr>
          <w:p w14:paraId="6797D6C4"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4,00</w:t>
            </w:r>
          </w:p>
        </w:tc>
        <w:tc>
          <w:tcPr>
            <w:tcW w:w="983" w:type="dxa"/>
            <w:tcBorders>
              <w:top w:val="double" w:sz="2" w:space="0" w:color="5B9BD5"/>
              <w:left w:val="double" w:sz="2" w:space="0" w:color="5B9BD5"/>
              <w:bottom w:val="double" w:sz="2" w:space="0" w:color="5B9BD5"/>
              <w:right w:val="double" w:sz="2" w:space="0" w:color="5B9BD5"/>
            </w:tcBorders>
            <w:vAlign w:val="center"/>
          </w:tcPr>
          <w:p w14:paraId="47171457"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20,00</w:t>
            </w:r>
          </w:p>
        </w:tc>
        <w:tc>
          <w:tcPr>
            <w:tcW w:w="959" w:type="dxa"/>
            <w:tcBorders>
              <w:top w:val="double" w:sz="2" w:space="0" w:color="5B9BD5"/>
              <w:left w:val="double" w:sz="2" w:space="0" w:color="5B9BD5"/>
              <w:bottom w:val="double" w:sz="2" w:space="0" w:color="5B9BD5"/>
              <w:right w:val="double" w:sz="2" w:space="0" w:color="5B9BD5"/>
            </w:tcBorders>
            <w:vAlign w:val="center"/>
          </w:tcPr>
          <w:p w14:paraId="5B74201A"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14,5366</w:t>
            </w:r>
          </w:p>
        </w:tc>
        <w:tc>
          <w:tcPr>
            <w:tcW w:w="1740" w:type="dxa"/>
            <w:tcBorders>
              <w:top w:val="double" w:sz="2" w:space="0" w:color="5B9BD5"/>
              <w:left w:val="double" w:sz="2" w:space="0" w:color="5B9BD5"/>
              <w:bottom w:val="double" w:sz="2" w:space="0" w:color="5B9BD5"/>
              <w:right w:val="double" w:sz="2" w:space="0" w:color="5B9BD5"/>
            </w:tcBorders>
            <w:vAlign w:val="center"/>
          </w:tcPr>
          <w:p w14:paraId="11005EC3"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3,85179</w:t>
            </w:r>
          </w:p>
        </w:tc>
      </w:tr>
      <w:tr w:rsidR="00804FF7" w14:paraId="4323D81E" w14:textId="77777777" w:rsidTr="007C41D0">
        <w:tc>
          <w:tcPr>
            <w:tcW w:w="3719" w:type="dxa"/>
            <w:tcBorders>
              <w:top w:val="double" w:sz="2" w:space="0" w:color="5B9BD5"/>
              <w:left w:val="double" w:sz="2" w:space="0" w:color="5B9BD5"/>
              <w:bottom w:val="double" w:sz="2" w:space="0" w:color="5B9BD5"/>
              <w:right w:val="double" w:sz="2" w:space="0" w:color="5B9BD5"/>
            </w:tcBorders>
            <w:vAlign w:val="center"/>
          </w:tcPr>
          <w:p w14:paraId="76025CF4"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Experiencia digital (ED)</w:t>
            </w:r>
          </w:p>
        </w:tc>
        <w:tc>
          <w:tcPr>
            <w:tcW w:w="492" w:type="dxa"/>
            <w:tcBorders>
              <w:top w:val="double" w:sz="2" w:space="0" w:color="5B9BD5"/>
              <w:left w:val="double" w:sz="2" w:space="0" w:color="5B9BD5"/>
              <w:bottom w:val="double" w:sz="2" w:space="0" w:color="5B9BD5"/>
              <w:right w:val="double" w:sz="2" w:space="0" w:color="5B9BD5"/>
            </w:tcBorders>
            <w:vAlign w:val="center"/>
          </w:tcPr>
          <w:p w14:paraId="53B4EE9B"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369</w:t>
            </w:r>
          </w:p>
        </w:tc>
        <w:tc>
          <w:tcPr>
            <w:tcW w:w="930" w:type="dxa"/>
            <w:tcBorders>
              <w:top w:val="double" w:sz="2" w:space="0" w:color="5B9BD5"/>
              <w:left w:val="double" w:sz="2" w:space="0" w:color="5B9BD5"/>
              <w:bottom w:val="double" w:sz="2" w:space="0" w:color="5B9BD5"/>
              <w:right w:val="double" w:sz="2" w:space="0" w:color="5B9BD5"/>
            </w:tcBorders>
            <w:vAlign w:val="center"/>
          </w:tcPr>
          <w:p w14:paraId="5F3294C9"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4,00</w:t>
            </w:r>
          </w:p>
        </w:tc>
        <w:tc>
          <w:tcPr>
            <w:tcW w:w="983" w:type="dxa"/>
            <w:tcBorders>
              <w:top w:val="double" w:sz="2" w:space="0" w:color="5B9BD5"/>
              <w:left w:val="double" w:sz="2" w:space="0" w:color="5B9BD5"/>
              <w:bottom w:val="double" w:sz="2" w:space="0" w:color="5B9BD5"/>
              <w:right w:val="double" w:sz="2" w:space="0" w:color="5B9BD5"/>
            </w:tcBorders>
            <w:vAlign w:val="center"/>
          </w:tcPr>
          <w:p w14:paraId="3282D31D"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20,00</w:t>
            </w:r>
          </w:p>
        </w:tc>
        <w:tc>
          <w:tcPr>
            <w:tcW w:w="959" w:type="dxa"/>
            <w:tcBorders>
              <w:top w:val="double" w:sz="2" w:space="0" w:color="5B9BD5"/>
              <w:left w:val="double" w:sz="2" w:space="0" w:color="5B9BD5"/>
              <w:bottom w:val="double" w:sz="2" w:space="0" w:color="5B9BD5"/>
              <w:right w:val="double" w:sz="2" w:space="0" w:color="5B9BD5"/>
            </w:tcBorders>
            <w:vAlign w:val="center"/>
          </w:tcPr>
          <w:p w14:paraId="5FE9CF2F"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15,3360</w:t>
            </w:r>
          </w:p>
        </w:tc>
        <w:tc>
          <w:tcPr>
            <w:tcW w:w="1740" w:type="dxa"/>
            <w:tcBorders>
              <w:top w:val="double" w:sz="2" w:space="0" w:color="5B9BD5"/>
              <w:left w:val="double" w:sz="2" w:space="0" w:color="5B9BD5"/>
              <w:bottom w:val="double" w:sz="2" w:space="0" w:color="5B9BD5"/>
              <w:right w:val="double" w:sz="2" w:space="0" w:color="5B9BD5"/>
            </w:tcBorders>
            <w:vAlign w:val="center"/>
          </w:tcPr>
          <w:p w14:paraId="27BE1B23"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3,68027</w:t>
            </w:r>
          </w:p>
        </w:tc>
      </w:tr>
      <w:tr w:rsidR="00804FF7" w14:paraId="0EB9D7E6" w14:textId="77777777" w:rsidTr="007C41D0">
        <w:tc>
          <w:tcPr>
            <w:tcW w:w="3719" w:type="dxa"/>
            <w:tcBorders>
              <w:top w:val="double" w:sz="2" w:space="0" w:color="5B9BD5"/>
              <w:left w:val="double" w:sz="2" w:space="0" w:color="5B9BD5"/>
              <w:bottom w:val="double" w:sz="2" w:space="0" w:color="5B9BD5"/>
              <w:right w:val="double" w:sz="2" w:space="0" w:color="5B9BD5"/>
            </w:tcBorders>
            <w:vAlign w:val="center"/>
          </w:tcPr>
          <w:p w14:paraId="5126DEE6"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Comportamiento de compra (CC)</w:t>
            </w:r>
          </w:p>
        </w:tc>
        <w:tc>
          <w:tcPr>
            <w:tcW w:w="492" w:type="dxa"/>
            <w:tcBorders>
              <w:top w:val="double" w:sz="2" w:space="0" w:color="5B9BD5"/>
              <w:left w:val="double" w:sz="2" w:space="0" w:color="5B9BD5"/>
              <w:bottom w:val="double" w:sz="2" w:space="0" w:color="5B9BD5"/>
              <w:right w:val="double" w:sz="2" w:space="0" w:color="5B9BD5"/>
            </w:tcBorders>
            <w:vAlign w:val="center"/>
          </w:tcPr>
          <w:p w14:paraId="5B41FBE3"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369</w:t>
            </w:r>
          </w:p>
        </w:tc>
        <w:tc>
          <w:tcPr>
            <w:tcW w:w="930" w:type="dxa"/>
            <w:tcBorders>
              <w:top w:val="double" w:sz="2" w:space="0" w:color="5B9BD5"/>
              <w:left w:val="double" w:sz="2" w:space="0" w:color="5B9BD5"/>
              <w:bottom w:val="double" w:sz="2" w:space="0" w:color="5B9BD5"/>
              <w:right w:val="double" w:sz="2" w:space="0" w:color="5B9BD5"/>
            </w:tcBorders>
            <w:vAlign w:val="center"/>
          </w:tcPr>
          <w:p w14:paraId="0D69279B"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4,00</w:t>
            </w:r>
          </w:p>
        </w:tc>
        <w:tc>
          <w:tcPr>
            <w:tcW w:w="983" w:type="dxa"/>
            <w:tcBorders>
              <w:top w:val="double" w:sz="2" w:space="0" w:color="5B9BD5"/>
              <w:left w:val="double" w:sz="2" w:space="0" w:color="5B9BD5"/>
              <w:bottom w:val="double" w:sz="2" w:space="0" w:color="5B9BD5"/>
              <w:right w:val="double" w:sz="2" w:space="0" w:color="5B9BD5"/>
            </w:tcBorders>
            <w:vAlign w:val="center"/>
          </w:tcPr>
          <w:p w14:paraId="16212D9E"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20,00</w:t>
            </w:r>
          </w:p>
        </w:tc>
        <w:tc>
          <w:tcPr>
            <w:tcW w:w="959" w:type="dxa"/>
            <w:tcBorders>
              <w:top w:val="double" w:sz="2" w:space="0" w:color="5B9BD5"/>
              <w:left w:val="double" w:sz="2" w:space="0" w:color="5B9BD5"/>
              <w:bottom w:val="double" w:sz="2" w:space="0" w:color="5B9BD5"/>
              <w:right w:val="double" w:sz="2" w:space="0" w:color="5B9BD5"/>
            </w:tcBorders>
            <w:vAlign w:val="center"/>
          </w:tcPr>
          <w:p w14:paraId="11DFC4BE"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14,4986</w:t>
            </w:r>
          </w:p>
        </w:tc>
        <w:tc>
          <w:tcPr>
            <w:tcW w:w="1740" w:type="dxa"/>
            <w:tcBorders>
              <w:top w:val="double" w:sz="2" w:space="0" w:color="5B9BD5"/>
              <w:left w:val="double" w:sz="2" w:space="0" w:color="5B9BD5"/>
              <w:bottom w:val="double" w:sz="2" w:space="0" w:color="5B9BD5"/>
              <w:right w:val="double" w:sz="2" w:space="0" w:color="5B9BD5"/>
            </w:tcBorders>
            <w:vAlign w:val="center"/>
          </w:tcPr>
          <w:p w14:paraId="508B654B"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3,91216</w:t>
            </w:r>
          </w:p>
        </w:tc>
      </w:tr>
      <w:tr w:rsidR="00804FF7" w14:paraId="2F679BA4" w14:textId="77777777" w:rsidTr="007C41D0">
        <w:tc>
          <w:tcPr>
            <w:tcW w:w="3719" w:type="dxa"/>
            <w:tcBorders>
              <w:top w:val="double" w:sz="2" w:space="0" w:color="5B9BD5"/>
              <w:left w:val="double" w:sz="2" w:space="0" w:color="5B9BD5"/>
              <w:bottom w:val="double" w:sz="2" w:space="0" w:color="5B9BD5"/>
              <w:right w:val="double" w:sz="2" w:space="0" w:color="5B9BD5"/>
            </w:tcBorders>
            <w:vAlign w:val="center"/>
          </w:tcPr>
          <w:p w14:paraId="0A9C4A61"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Preferencia por marcas locales (PL)</w:t>
            </w:r>
          </w:p>
        </w:tc>
        <w:tc>
          <w:tcPr>
            <w:tcW w:w="492" w:type="dxa"/>
            <w:tcBorders>
              <w:top w:val="double" w:sz="2" w:space="0" w:color="5B9BD5"/>
              <w:left w:val="double" w:sz="2" w:space="0" w:color="5B9BD5"/>
              <w:bottom w:val="double" w:sz="2" w:space="0" w:color="5B9BD5"/>
              <w:right w:val="double" w:sz="2" w:space="0" w:color="5B9BD5"/>
            </w:tcBorders>
            <w:vAlign w:val="center"/>
          </w:tcPr>
          <w:p w14:paraId="28DE2B14"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369</w:t>
            </w:r>
          </w:p>
        </w:tc>
        <w:tc>
          <w:tcPr>
            <w:tcW w:w="930" w:type="dxa"/>
            <w:tcBorders>
              <w:top w:val="double" w:sz="2" w:space="0" w:color="5B9BD5"/>
              <w:left w:val="double" w:sz="2" w:space="0" w:color="5B9BD5"/>
              <w:bottom w:val="double" w:sz="2" w:space="0" w:color="5B9BD5"/>
              <w:right w:val="double" w:sz="2" w:space="0" w:color="5B9BD5"/>
            </w:tcBorders>
            <w:vAlign w:val="center"/>
          </w:tcPr>
          <w:p w14:paraId="6E276ED0"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2,00</w:t>
            </w:r>
          </w:p>
        </w:tc>
        <w:tc>
          <w:tcPr>
            <w:tcW w:w="983" w:type="dxa"/>
            <w:tcBorders>
              <w:top w:val="double" w:sz="2" w:space="0" w:color="5B9BD5"/>
              <w:left w:val="double" w:sz="2" w:space="0" w:color="5B9BD5"/>
              <w:bottom w:val="double" w:sz="2" w:space="0" w:color="5B9BD5"/>
              <w:right w:val="double" w:sz="2" w:space="0" w:color="5B9BD5"/>
            </w:tcBorders>
            <w:vAlign w:val="center"/>
          </w:tcPr>
          <w:p w14:paraId="79D30583"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10,00</w:t>
            </w:r>
          </w:p>
        </w:tc>
        <w:tc>
          <w:tcPr>
            <w:tcW w:w="959" w:type="dxa"/>
            <w:tcBorders>
              <w:top w:val="double" w:sz="2" w:space="0" w:color="5B9BD5"/>
              <w:left w:val="double" w:sz="2" w:space="0" w:color="5B9BD5"/>
              <w:bottom w:val="double" w:sz="2" w:space="0" w:color="5B9BD5"/>
              <w:right w:val="double" w:sz="2" w:space="0" w:color="5B9BD5"/>
            </w:tcBorders>
            <w:vAlign w:val="center"/>
          </w:tcPr>
          <w:p w14:paraId="2F877EC8"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6,6450</w:t>
            </w:r>
          </w:p>
        </w:tc>
        <w:tc>
          <w:tcPr>
            <w:tcW w:w="1740" w:type="dxa"/>
            <w:tcBorders>
              <w:top w:val="double" w:sz="2" w:space="0" w:color="5B9BD5"/>
              <w:left w:val="double" w:sz="2" w:space="0" w:color="5B9BD5"/>
              <w:bottom w:val="double" w:sz="2" w:space="0" w:color="5B9BD5"/>
              <w:right w:val="double" w:sz="2" w:space="0" w:color="5B9BD5"/>
            </w:tcBorders>
            <w:vAlign w:val="center"/>
          </w:tcPr>
          <w:p w14:paraId="7C1792CC"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2,21193</w:t>
            </w:r>
          </w:p>
        </w:tc>
      </w:tr>
      <w:tr w:rsidR="00804FF7" w14:paraId="01492770" w14:textId="77777777" w:rsidTr="007C41D0">
        <w:tc>
          <w:tcPr>
            <w:tcW w:w="3719" w:type="dxa"/>
            <w:tcBorders>
              <w:top w:val="double" w:sz="2" w:space="0" w:color="5B9BD5"/>
              <w:left w:val="double" w:sz="2" w:space="0" w:color="5B9BD5"/>
              <w:bottom w:val="double" w:sz="2" w:space="0" w:color="5B9BD5"/>
              <w:right w:val="double" w:sz="2" w:space="0" w:color="5B9BD5"/>
            </w:tcBorders>
            <w:vAlign w:val="center"/>
          </w:tcPr>
          <w:p w14:paraId="34CA9C0D"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Valencia Emocional (VE)</w:t>
            </w:r>
          </w:p>
        </w:tc>
        <w:tc>
          <w:tcPr>
            <w:tcW w:w="492" w:type="dxa"/>
            <w:tcBorders>
              <w:top w:val="double" w:sz="2" w:space="0" w:color="5B9BD5"/>
              <w:left w:val="double" w:sz="2" w:space="0" w:color="5B9BD5"/>
              <w:bottom w:val="double" w:sz="2" w:space="0" w:color="5B9BD5"/>
              <w:right w:val="double" w:sz="2" w:space="0" w:color="5B9BD5"/>
            </w:tcBorders>
            <w:vAlign w:val="center"/>
          </w:tcPr>
          <w:p w14:paraId="5BD15E69"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369</w:t>
            </w:r>
          </w:p>
        </w:tc>
        <w:tc>
          <w:tcPr>
            <w:tcW w:w="930" w:type="dxa"/>
            <w:tcBorders>
              <w:top w:val="double" w:sz="2" w:space="0" w:color="5B9BD5"/>
              <w:left w:val="double" w:sz="2" w:space="0" w:color="5B9BD5"/>
              <w:bottom w:val="double" w:sz="2" w:space="0" w:color="5B9BD5"/>
              <w:right w:val="double" w:sz="2" w:space="0" w:color="5B9BD5"/>
            </w:tcBorders>
            <w:vAlign w:val="center"/>
          </w:tcPr>
          <w:p w14:paraId="0A1FCB1F"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4,00</w:t>
            </w:r>
          </w:p>
        </w:tc>
        <w:tc>
          <w:tcPr>
            <w:tcW w:w="983" w:type="dxa"/>
            <w:tcBorders>
              <w:top w:val="double" w:sz="2" w:space="0" w:color="5B9BD5"/>
              <w:left w:val="double" w:sz="2" w:space="0" w:color="5B9BD5"/>
              <w:bottom w:val="double" w:sz="2" w:space="0" w:color="5B9BD5"/>
              <w:right w:val="double" w:sz="2" w:space="0" w:color="5B9BD5"/>
            </w:tcBorders>
            <w:vAlign w:val="center"/>
          </w:tcPr>
          <w:p w14:paraId="00C02A19"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20,00</w:t>
            </w:r>
          </w:p>
        </w:tc>
        <w:tc>
          <w:tcPr>
            <w:tcW w:w="959" w:type="dxa"/>
            <w:tcBorders>
              <w:top w:val="double" w:sz="2" w:space="0" w:color="5B9BD5"/>
              <w:left w:val="double" w:sz="2" w:space="0" w:color="5B9BD5"/>
              <w:bottom w:val="double" w:sz="2" w:space="0" w:color="5B9BD5"/>
              <w:right w:val="double" w:sz="2" w:space="0" w:color="5B9BD5"/>
            </w:tcBorders>
            <w:vAlign w:val="center"/>
          </w:tcPr>
          <w:p w14:paraId="671BBFA5"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sidRPr="0013738C">
              <w:rPr>
                <w:rFonts w:ascii="Arial" w:eastAsia="Times New Roman" w:hAnsi="Arial" w:cs="Arial"/>
                <w:color w:val="2E74B5" w:themeColor="accent1" w:themeShade="BF"/>
                <w:sz w:val="24"/>
                <w:szCs w:val="24"/>
                <w:lang w:eastAsia="es-CO"/>
              </w:rPr>
              <w:t>1</w:t>
            </w:r>
            <w:r>
              <w:rPr>
                <w:rFonts w:ascii="Arial" w:eastAsia="Times New Roman" w:hAnsi="Arial" w:cs="Arial"/>
                <w:color w:val="2E74B5" w:themeColor="accent1" w:themeShade="BF"/>
                <w:sz w:val="24"/>
                <w:szCs w:val="24"/>
                <w:lang w:eastAsia="es-CO"/>
              </w:rPr>
              <w:t>4</w:t>
            </w:r>
            <w:r w:rsidRPr="0013738C">
              <w:rPr>
                <w:rFonts w:ascii="Arial" w:eastAsia="Times New Roman" w:hAnsi="Arial" w:cs="Arial"/>
                <w:color w:val="2E74B5" w:themeColor="accent1" w:themeShade="BF"/>
                <w:sz w:val="24"/>
                <w:szCs w:val="24"/>
                <w:lang w:eastAsia="es-CO"/>
              </w:rPr>
              <w:t>,3889</w:t>
            </w:r>
          </w:p>
        </w:tc>
        <w:tc>
          <w:tcPr>
            <w:tcW w:w="1740" w:type="dxa"/>
            <w:tcBorders>
              <w:top w:val="double" w:sz="2" w:space="0" w:color="5B9BD5"/>
              <w:left w:val="double" w:sz="2" w:space="0" w:color="5B9BD5"/>
              <w:bottom w:val="double" w:sz="2" w:space="0" w:color="5B9BD5"/>
              <w:right w:val="double" w:sz="2" w:space="0" w:color="5B9BD5"/>
            </w:tcBorders>
            <w:vAlign w:val="center"/>
          </w:tcPr>
          <w:p w14:paraId="2E94107C" w14:textId="77777777" w:rsidR="00804FF7" w:rsidRDefault="00804FF7" w:rsidP="007C41D0">
            <w:pPr>
              <w:spacing w:after="0" w:line="240" w:lineRule="auto"/>
              <w:rPr>
                <w:rFonts w:ascii="Arial" w:eastAsia="Times New Roman" w:hAnsi="Arial" w:cs="Arial"/>
                <w:color w:val="2E74B5" w:themeColor="accent1" w:themeShade="BF"/>
                <w:sz w:val="24"/>
                <w:szCs w:val="24"/>
                <w:lang w:eastAsia="es-CO"/>
              </w:rPr>
            </w:pPr>
            <w:r w:rsidRPr="0013738C">
              <w:rPr>
                <w:rFonts w:ascii="Arial" w:eastAsia="Times New Roman" w:hAnsi="Arial" w:cs="Arial"/>
                <w:color w:val="2E74B5" w:themeColor="accent1" w:themeShade="BF"/>
                <w:sz w:val="24"/>
                <w:szCs w:val="24"/>
                <w:lang w:eastAsia="es-CO"/>
              </w:rPr>
              <w:t>3,38111</w:t>
            </w:r>
          </w:p>
        </w:tc>
      </w:tr>
    </w:tbl>
    <w:p w14:paraId="427AFF53" w14:textId="77777777" w:rsidR="00804FF7" w:rsidRDefault="00804FF7">
      <w:pPr>
        <w:jc w:val="both"/>
        <w:rPr>
          <w:rFonts w:ascii="Arial" w:hAnsi="Arial" w:cs="Arial"/>
          <w:b/>
          <w:bCs/>
          <w:color w:val="2E74B5" w:themeColor="accent1" w:themeShade="BF"/>
          <w:sz w:val="24"/>
          <w:szCs w:val="24"/>
        </w:rPr>
      </w:pPr>
    </w:p>
    <w:p w14:paraId="024C0264" w14:textId="77777777" w:rsidR="00804FF7" w:rsidRDefault="00804FF7">
      <w:pPr>
        <w:jc w:val="both"/>
        <w:rPr>
          <w:rFonts w:ascii="Arial" w:hAnsi="Arial" w:cs="Arial"/>
          <w:b/>
          <w:bCs/>
          <w:color w:val="2E74B5" w:themeColor="accent1" w:themeShade="BF"/>
          <w:sz w:val="24"/>
          <w:szCs w:val="24"/>
        </w:rPr>
      </w:pPr>
    </w:p>
    <w:p w14:paraId="443ECC23" w14:textId="6354ACEE"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Fuente: </w:t>
      </w:r>
      <w:r>
        <w:rPr>
          <w:rFonts w:ascii="Arial" w:hAnsi="Arial" w:cs="Arial"/>
          <w:color w:val="2E74B5" w:themeColor="accent1" w:themeShade="BF"/>
          <w:sz w:val="24"/>
          <w:szCs w:val="24"/>
        </w:rPr>
        <w:t>Elaboración propia a partir de resultados obtenidos en SPSS.</w:t>
      </w:r>
    </w:p>
    <w:p w14:paraId="382A289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Los resultados evidencian medias relativamente altas en las dimensiones relacionadas con la experiencia digital y las respuestas emocionales asociadas al uso de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Particularmente, la dimensión correspondiente a experiencia digital presentó la media más alta (M = 15,3360), seguida de activación emocional (M = 14,5366) y comportamiento de compra (M = 14,4986). Por el contrario, la variable relacionada con la preferencia por marcas locales presentó una media inferior (M = 6,6450).</w:t>
      </w:r>
    </w:p>
    <w:p w14:paraId="446311F3" w14:textId="77777777" w:rsidR="00653A61" w:rsidRDefault="00653A61">
      <w:pPr>
        <w:jc w:val="both"/>
        <w:rPr>
          <w:rFonts w:ascii="Arial" w:hAnsi="Arial" w:cs="Arial"/>
          <w:color w:val="2E74B5" w:themeColor="accent1" w:themeShade="BF"/>
          <w:sz w:val="24"/>
          <w:szCs w:val="24"/>
        </w:rPr>
      </w:pPr>
    </w:p>
    <w:p w14:paraId="27B477D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Asimismo, a nivel de ítems individuales, se observaron puntuaciones altas en las afirmaciones relacionadas con la experiencia digital y el comportamiento de compra. Los ítems ED3 (M = 3,92), CC2 (M = 3,96) y VE3 (M = 3,88) registraron las medias más elevadas. En contraste, el ítem PL2 presentó la media más baja (M = 3,26).</w:t>
      </w:r>
    </w:p>
    <w:p w14:paraId="516711EE" w14:textId="77777777" w:rsidR="00653A61" w:rsidRDefault="00653A61">
      <w:pPr>
        <w:jc w:val="both"/>
        <w:rPr>
          <w:rFonts w:ascii="Arial" w:hAnsi="Arial" w:cs="Arial"/>
          <w:color w:val="2E74B5" w:themeColor="accent1" w:themeShade="BF"/>
          <w:sz w:val="24"/>
          <w:szCs w:val="24"/>
        </w:rPr>
      </w:pPr>
    </w:p>
    <w:p w14:paraId="7A27BD96"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3.4 Medición de la calidad de las escalas y análisis de fiabilidad del instrumento.</w:t>
      </w:r>
    </w:p>
    <w:p w14:paraId="61A1136F" w14:textId="77777777" w:rsidR="00653A61" w:rsidRDefault="00653A61">
      <w:pPr>
        <w:jc w:val="both"/>
        <w:rPr>
          <w:rFonts w:ascii="Arial" w:hAnsi="Arial" w:cs="Arial"/>
          <w:color w:val="2E74B5" w:themeColor="accent1" w:themeShade="BF"/>
          <w:sz w:val="24"/>
          <w:szCs w:val="24"/>
        </w:rPr>
      </w:pPr>
    </w:p>
    <w:p w14:paraId="7B73718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 continuación, se estudia la calidad psicométrica de las escalas utilizadas en el cuestionario mediante el cual se midieron las diferentes dimensiones del modelo planteado en el apartado 2 del presente trabajo de investigación, correspondientes </w:t>
      </w:r>
      <w:r>
        <w:rPr>
          <w:rFonts w:ascii="Arial" w:hAnsi="Arial" w:cs="Arial"/>
          <w:color w:val="2E74B5" w:themeColor="accent1" w:themeShade="BF"/>
          <w:sz w:val="24"/>
          <w:szCs w:val="24"/>
        </w:rPr>
        <w:lastRenderedPageBreak/>
        <w:t xml:space="preserve">a respuestas emocionales vinculadas a la experiencia digital, comportamiento de compra y preferencia por marcas locales de moda. </w:t>
      </w:r>
    </w:p>
    <w:p w14:paraId="76C8D60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Como primera medida, se calculó la media de escala si el elemento se ha suprimido, la varianza de escala si elemento se ha suprimido, la correlación ítem total corregidas, las correlaciones múltiples al cuadro y el coeficiente Alfa de Cronbach (se verificó la pertinencia conceptual de los ítems para evitar redundancia) en el software SPSS para cada una de las escalas incluidas en el instrumento, con el propósito de evaluar la consistencia interna y la adecuación de los ítems dentro de cada dimensión analizada. Siguiendo los criterios metodológicos utilizados en estudios de validación de escalas y análisis factorial (Hair et al., 2019), se consideraron adecuados aquellos ítems que presentaran correlaciones ítem total superiores a 0,35 y extracciones de comunalidad mayores a 0,50.</w:t>
      </w:r>
    </w:p>
    <w:p w14:paraId="11C6E219" w14:textId="77777777" w:rsidR="00653A61" w:rsidRDefault="00653A61">
      <w:pPr>
        <w:jc w:val="both"/>
        <w:rPr>
          <w:rFonts w:ascii="Arial" w:hAnsi="Arial" w:cs="Arial"/>
          <w:color w:val="2E74B5" w:themeColor="accent1" w:themeShade="BF"/>
          <w:sz w:val="24"/>
          <w:szCs w:val="24"/>
        </w:rPr>
      </w:pPr>
    </w:p>
    <w:p w14:paraId="48281D4E" w14:textId="0901359E"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Tabla </w:t>
      </w:r>
      <w:r w:rsidR="00C308CC">
        <w:rPr>
          <w:rFonts w:ascii="Arial" w:hAnsi="Arial" w:cs="Arial"/>
          <w:color w:val="2E74B5" w:themeColor="accent1" w:themeShade="BF"/>
          <w:sz w:val="24"/>
          <w:szCs w:val="24"/>
        </w:rPr>
        <w:t>10</w:t>
      </w:r>
      <w:r>
        <w:rPr>
          <w:rFonts w:ascii="Arial" w:hAnsi="Arial" w:cs="Arial"/>
          <w:color w:val="2E74B5" w:themeColor="accent1" w:themeShade="BF"/>
          <w:sz w:val="24"/>
          <w:szCs w:val="24"/>
        </w:rPr>
        <w:t>: Estadísticas de total de ítems y consistencia interna</w:t>
      </w:r>
    </w:p>
    <w:p w14:paraId="45F91A11" w14:textId="77777777" w:rsidR="00653A61" w:rsidRDefault="00653A61">
      <w:pPr>
        <w:jc w:val="center"/>
        <w:rPr>
          <w:rFonts w:ascii="Arial" w:hAnsi="Arial" w:cs="Arial"/>
          <w:color w:val="2E74B5" w:themeColor="accent1" w:themeShade="BF"/>
          <w:sz w:val="24"/>
          <w:szCs w:val="24"/>
        </w:rPr>
      </w:pPr>
    </w:p>
    <w:tbl>
      <w:tblPr>
        <w:tblW w:w="8823" w:type="dxa"/>
        <w:tblLayout w:type="fixed"/>
        <w:tblCellMar>
          <w:top w:w="15" w:type="dxa"/>
          <w:left w:w="15" w:type="dxa"/>
          <w:bottom w:w="15" w:type="dxa"/>
          <w:right w:w="15" w:type="dxa"/>
        </w:tblCellMar>
        <w:tblLook w:val="04A0" w:firstRow="1" w:lastRow="0" w:firstColumn="1" w:lastColumn="0" w:noHBand="0" w:noVBand="1"/>
      </w:tblPr>
      <w:tblGrid>
        <w:gridCol w:w="599"/>
        <w:gridCol w:w="1611"/>
        <w:gridCol w:w="1636"/>
        <w:gridCol w:w="1708"/>
        <w:gridCol w:w="1628"/>
        <w:gridCol w:w="1641"/>
      </w:tblGrid>
      <w:tr w:rsidR="00653A61" w14:paraId="32A7EEF4" w14:textId="77777777">
        <w:trPr>
          <w:tblHeader/>
        </w:trPr>
        <w:tc>
          <w:tcPr>
            <w:tcW w:w="599" w:type="dxa"/>
            <w:tcBorders>
              <w:top w:val="double" w:sz="2" w:space="0" w:color="5B9BD5"/>
              <w:left w:val="double" w:sz="2" w:space="0" w:color="5B9BD5"/>
              <w:bottom w:val="double" w:sz="2" w:space="0" w:color="5B9BD5"/>
              <w:right w:val="double" w:sz="2" w:space="0" w:color="5B9BD5"/>
            </w:tcBorders>
            <w:vAlign w:val="center"/>
          </w:tcPr>
          <w:p w14:paraId="0069EB20"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Ítem</w:t>
            </w:r>
          </w:p>
        </w:tc>
        <w:tc>
          <w:tcPr>
            <w:tcW w:w="1611" w:type="dxa"/>
            <w:tcBorders>
              <w:top w:val="double" w:sz="2" w:space="0" w:color="5B9BD5"/>
              <w:left w:val="double" w:sz="2" w:space="0" w:color="5B9BD5"/>
              <w:bottom w:val="double" w:sz="2" w:space="0" w:color="5B9BD5"/>
              <w:right w:val="double" w:sz="2" w:space="0" w:color="5B9BD5"/>
            </w:tcBorders>
            <w:vAlign w:val="center"/>
          </w:tcPr>
          <w:p w14:paraId="7A6DE225"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Media de escala si el elemento se ha suprimido</w:t>
            </w:r>
          </w:p>
        </w:tc>
        <w:tc>
          <w:tcPr>
            <w:tcW w:w="1636" w:type="dxa"/>
            <w:tcBorders>
              <w:top w:val="double" w:sz="2" w:space="0" w:color="5B9BD5"/>
              <w:left w:val="double" w:sz="2" w:space="0" w:color="5B9BD5"/>
              <w:bottom w:val="double" w:sz="2" w:space="0" w:color="5B9BD5"/>
              <w:right w:val="double" w:sz="2" w:space="0" w:color="5B9BD5"/>
            </w:tcBorders>
            <w:vAlign w:val="center"/>
          </w:tcPr>
          <w:p w14:paraId="64899622"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Varianza de escala si el elemento se ha suprimido</w:t>
            </w:r>
          </w:p>
        </w:tc>
        <w:tc>
          <w:tcPr>
            <w:tcW w:w="1708" w:type="dxa"/>
            <w:tcBorders>
              <w:top w:val="double" w:sz="2" w:space="0" w:color="5B9BD5"/>
              <w:left w:val="double" w:sz="2" w:space="0" w:color="5B9BD5"/>
              <w:bottom w:val="double" w:sz="2" w:space="0" w:color="5B9BD5"/>
              <w:right w:val="double" w:sz="2" w:space="0" w:color="5B9BD5"/>
            </w:tcBorders>
            <w:vAlign w:val="center"/>
          </w:tcPr>
          <w:p w14:paraId="0D5185C6"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Correlación total de elementos corregida</w:t>
            </w:r>
          </w:p>
        </w:tc>
        <w:tc>
          <w:tcPr>
            <w:tcW w:w="1628" w:type="dxa"/>
            <w:tcBorders>
              <w:top w:val="double" w:sz="2" w:space="0" w:color="5B9BD5"/>
              <w:left w:val="double" w:sz="2" w:space="0" w:color="5B9BD5"/>
              <w:bottom w:val="double" w:sz="2" w:space="0" w:color="5B9BD5"/>
              <w:right w:val="double" w:sz="2" w:space="0" w:color="5B9BD5"/>
            </w:tcBorders>
            <w:vAlign w:val="center"/>
          </w:tcPr>
          <w:p w14:paraId="0B85B43B"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Correlación múltiple al cuadrado</w:t>
            </w:r>
          </w:p>
        </w:tc>
        <w:tc>
          <w:tcPr>
            <w:tcW w:w="1641" w:type="dxa"/>
            <w:tcBorders>
              <w:top w:val="double" w:sz="2" w:space="0" w:color="5B9BD5"/>
              <w:left w:val="double" w:sz="2" w:space="0" w:color="5B9BD5"/>
              <w:bottom w:val="double" w:sz="2" w:space="0" w:color="5B9BD5"/>
              <w:right w:val="double" w:sz="2" w:space="0" w:color="5B9BD5"/>
            </w:tcBorders>
            <w:vAlign w:val="center"/>
          </w:tcPr>
          <w:p w14:paraId="235FF0DC"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Alfa de Cronbach si el elemento se ha suprimido</w:t>
            </w:r>
          </w:p>
        </w:tc>
      </w:tr>
      <w:tr w:rsidR="00653A61" w14:paraId="48365618"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6F86E7F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VE1</w:t>
            </w:r>
          </w:p>
        </w:tc>
        <w:tc>
          <w:tcPr>
            <w:tcW w:w="1611" w:type="dxa"/>
            <w:tcBorders>
              <w:top w:val="double" w:sz="2" w:space="0" w:color="5B9BD5"/>
              <w:left w:val="double" w:sz="2" w:space="0" w:color="5B9BD5"/>
              <w:bottom w:val="double" w:sz="2" w:space="0" w:color="5B9BD5"/>
              <w:right w:val="double" w:sz="2" w:space="0" w:color="5B9BD5"/>
            </w:tcBorders>
            <w:vAlign w:val="center"/>
          </w:tcPr>
          <w:p w14:paraId="257E136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62,58</w:t>
            </w:r>
          </w:p>
        </w:tc>
        <w:tc>
          <w:tcPr>
            <w:tcW w:w="1636" w:type="dxa"/>
            <w:tcBorders>
              <w:top w:val="double" w:sz="2" w:space="0" w:color="5B9BD5"/>
              <w:left w:val="double" w:sz="2" w:space="0" w:color="5B9BD5"/>
              <w:bottom w:val="double" w:sz="2" w:space="0" w:color="5B9BD5"/>
              <w:right w:val="double" w:sz="2" w:space="0" w:color="5B9BD5"/>
            </w:tcBorders>
            <w:vAlign w:val="center"/>
          </w:tcPr>
          <w:p w14:paraId="70BBF9A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218,881</w:t>
            </w:r>
          </w:p>
        </w:tc>
        <w:tc>
          <w:tcPr>
            <w:tcW w:w="1708" w:type="dxa"/>
            <w:tcBorders>
              <w:top w:val="double" w:sz="2" w:space="0" w:color="5B9BD5"/>
              <w:left w:val="double" w:sz="2" w:space="0" w:color="5B9BD5"/>
              <w:bottom w:val="double" w:sz="2" w:space="0" w:color="5B9BD5"/>
              <w:right w:val="double" w:sz="2" w:space="0" w:color="5B9BD5"/>
            </w:tcBorders>
            <w:vAlign w:val="center"/>
          </w:tcPr>
          <w:p w14:paraId="7665CA0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,764</w:t>
            </w:r>
          </w:p>
        </w:tc>
        <w:tc>
          <w:tcPr>
            <w:tcW w:w="1628" w:type="dxa"/>
            <w:tcBorders>
              <w:top w:val="double" w:sz="2" w:space="0" w:color="5B9BD5"/>
              <w:left w:val="double" w:sz="2" w:space="0" w:color="5B9BD5"/>
              <w:bottom w:val="double" w:sz="2" w:space="0" w:color="5B9BD5"/>
              <w:right w:val="double" w:sz="2" w:space="0" w:color="5B9BD5"/>
            </w:tcBorders>
            <w:vAlign w:val="center"/>
          </w:tcPr>
          <w:p w14:paraId="3A0404F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,721</w:t>
            </w:r>
          </w:p>
        </w:tc>
        <w:tc>
          <w:tcPr>
            <w:tcW w:w="1641" w:type="dxa"/>
            <w:tcBorders>
              <w:top w:val="double" w:sz="2" w:space="0" w:color="5B9BD5"/>
              <w:left w:val="double" w:sz="2" w:space="0" w:color="5B9BD5"/>
              <w:bottom w:val="double" w:sz="2" w:space="0" w:color="5B9BD5"/>
              <w:right w:val="double" w:sz="2" w:space="0" w:color="5B9BD5"/>
            </w:tcBorders>
            <w:vAlign w:val="center"/>
          </w:tcPr>
          <w:p w14:paraId="473E9DB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,966</w:t>
            </w:r>
          </w:p>
        </w:tc>
      </w:tr>
      <w:tr w:rsidR="00653A61" w14:paraId="4C87E675"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6791A8E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VE2</w:t>
            </w:r>
          </w:p>
        </w:tc>
        <w:tc>
          <w:tcPr>
            <w:tcW w:w="1611" w:type="dxa"/>
            <w:tcBorders>
              <w:top w:val="double" w:sz="2" w:space="0" w:color="5B9BD5"/>
              <w:left w:val="double" w:sz="2" w:space="0" w:color="5B9BD5"/>
              <w:bottom w:val="double" w:sz="2" w:space="0" w:color="5B9BD5"/>
              <w:right w:val="double" w:sz="2" w:space="0" w:color="5B9BD5"/>
            </w:tcBorders>
            <w:vAlign w:val="center"/>
          </w:tcPr>
          <w:p w14:paraId="5A09FCD0"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62,53</w:t>
            </w:r>
          </w:p>
        </w:tc>
        <w:tc>
          <w:tcPr>
            <w:tcW w:w="1636" w:type="dxa"/>
            <w:tcBorders>
              <w:top w:val="double" w:sz="2" w:space="0" w:color="5B9BD5"/>
              <w:left w:val="double" w:sz="2" w:space="0" w:color="5B9BD5"/>
              <w:bottom w:val="double" w:sz="2" w:space="0" w:color="5B9BD5"/>
              <w:right w:val="double" w:sz="2" w:space="0" w:color="5B9BD5"/>
            </w:tcBorders>
            <w:vAlign w:val="center"/>
          </w:tcPr>
          <w:p w14:paraId="4C348F4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218,489</w:t>
            </w:r>
          </w:p>
        </w:tc>
        <w:tc>
          <w:tcPr>
            <w:tcW w:w="1708" w:type="dxa"/>
            <w:tcBorders>
              <w:top w:val="double" w:sz="2" w:space="0" w:color="5B9BD5"/>
              <w:left w:val="double" w:sz="2" w:space="0" w:color="5B9BD5"/>
              <w:bottom w:val="double" w:sz="2" w:space="0" w:color="5B9BD5"/>
              <w:right w:val="double" w:sz="2" w:space="0" w:color="5B9BD5"/>
            </w:tcBorders>
            <w:vAlign w:val="center"/>
          </w:tcPr>
          <w:p w14:paraId="176A71B7"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,796</w:t>
            </w:r>
          </w:p>
        </w:tc>
        <w:tc>
          <w:tcPr>
            <w:tcW w:w="1628" w:type="dxa"/>
            <w:tcBorders>
              <w:top w:val="double" w:sz="2" w:space="0" w:color="5B9BD5"/>
              <w:left w:val="double" w:sz="2" w:space="0" w:color="5B9BD5"/>
              <w:bottom w:val="double" w:sz="2" w:space="0" w:color="5B9BD5"/>
              <w:right w:val="double" w:sz="2" w:space="0" w:color="5B9BD5"/>
            </w:tcBorders>
            <w:vAlign w:val="center"/>
          </w:tcPr>
          <w:p w14:paraId="69992CC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,733</w:t>
            </w:r>
          </w:p>
        </w:tc>
        <w:tc>
          <w:tcPr>
            <w:tcW w:w="1641" w:type="dxa"/>
            <w:tcBorders>
              <w:top w:val="double" w:sz="2" w:space="0" w:color="5B9BD5"/>
              <w:left w:val="double" w:sz="2" w:space="0" w:color="5B9BD5"/>
              <w:bottom w:val="double" w:sz="2" w:space="0" w:color="5B9BD5"/>
              <w:right w:val="double" w:sz="2" w:space="0" w:color="5B9BD5"/>
            </w:tcBorders>
            <w:vAlign w:val="center"/>
          </w:tcPr>
          <w:p w14:paraId="3458C4E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1C2A275B"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14A0E3FC"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VE3</w:t>
            </w:r>
          </w:p>
        </w:tc>
        <w:tc>
          <w:tcPr>
            <w:tcW w:w="1611" w:type="dxa"/>
            <w:tcBorders>
              <w:top w:val="double" w:sz="2" w:space="0" w:color="5B9BD5"/>
              <w:left w:val="double" w:sz="2" w:space="0" w:color="5B9BD5"/>
              <w:bottom w:val="double" w:sz="2" w:space="0" w:color="5B9BD5"/>
              <w:right w:val="double" w:sz="2" w:space="0" w:color="5B9BD5"/>
            </w:tcBorders>
            <w:vAlign w:val="center"/>
          </w:tcPr>
          <w:p w14:paraId="7B56E6F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62,52</w:t>
            </w:r>
          </w:p>
        </w:tc>
        <w:tc>
          <w:tcPr>
            <w:tcW w:w="1636" w:type="dxa"/>
            <w:tcBorders>
              <w:top w:val="double" w:sz="2" w:space="0" w:color="5B9BD5"/>
              <w:left w:val="double" w:sz="2" w:space="0" w:color="5B9BD5"/>
              <w:bottom w:val="double" w:sz="2" w:space="0" w:color="5B9BD5"/>
              <w:right w:val="double" w:sz="2" w:space="0" w:color="5B9BD5"/>
            </w:tcBorders>
            <w:vAlign w:val="center"/>
          </w:tcPr>
          <w:p w14:paraId="4FE7FA0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217,631</w:t>
            </w:r>
          </w:p>
        </w:tc>
        <w:tc>
          <w:tcPr>
            <w:tcW w:w="1708" w:type="dxa"/>
            <w:tcBorders>
              <w:top w:val="double" w:sz="2" w:space="0" w:color="5B9BD5"/>
              <w:left w:val="double" w:sz="2" w:space="0" w:color="5B9BD5"/>
              <w:bottom w:val="double" w:sz="2" w:space="0" w:color="5B9BD5"/>
              <w:right w:val="double" w:sz="2" w:space="0" w:color="5B9BD5"/>
            </w:tcBorders>
            <w:vAlign w:val="center"/>
          </w:tcPr>
          <w:p w14:paraId="116EFBD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,800</w:t>
            </w:r>
          </w:p>
        </w:tc>
        <w:tc>
          <w:tcPr>
            <w:tcW w:w="1628" w:type="dxa"/>
            <w:tcBorders>
              <w:top w:val="double" w:sz="2" w:space="0" w:color="5B9BD5"/>
              <w:left w:val="double" w:sz="2" w:space="0" w:color="5B9BD5"/>
              <w:bottom w:val="double" w:sz="2" w:space="0" w:color="5B9BD5"/>
              <w:right w:val="double" w:sz="2" w:space="0" w:color="5B9BD5"/>
            </w:tcBorders>
            <w:vAlign w:val="center"/>
          </w:tcPr>
          <w:p w14:paraId="69C11EA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,750</w:t>
            </w:r>
          </w:p>
        </w:tc>
        <w:tc>
          <w:tcPr>
            <w:tcW w:w="1641" w:type="dxa"/>
            <w:tcBorders>
              <w:top w:val="double" w:sz="2" w:space="0" w:color="5B9BD5"/>
              <w:left w:val="double" w:sz="2" w:space="0" w:color="5B9BD5"/>
              <w:bottom w:val="double" w:sz="2" w:space="0" w:color="5B9BD5"/>
              <w:right w:val="double" w:sz="2" w:space="0" w:color="5B9BD5"/>
            </w:tcBorders>
            <w:vAlign w:val="center"/>
          </w:tcPr>
          <w:p w14:paraId="30C1F6E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53070D73"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18349851"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VE4</w:t>
            </w:r>
          </w:p>
        </w:tc>
        <w:tc>
          <w:tcPr>
            <w:tcW w:w="1611" w:type="dxa"/>
            <w:tcBorders>
              <w:top w:val="double" w:sz="2" w:space="0" w:color="5B9BD5"/>
              <w:left w:val="double" w:sz="2" w:space="0" w:color="5B9BD5"/>
              <w:bottom w:val="double" w:sz="2" w:space="0" w:color="5B9BD5"/>
              <w:right w:val="double" w:sz="2" w:space="0" w:color="5B9BD5"/>
            </w:tcBorders>
            <w:vAlign w:val="center"/>
          </w:tcPr>
          <w:p w14:paraId="34C40F21"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62,58</w:t>
            </w:r>
          </w:p>
        </w:tc>
        <w:tc>
          <w:tcPr>
            <w:tcW w:w="1636" w:type="dxa"/>
            <w:tcBorders>
              <w:top w:val="double" w:sz="2" w:space="0" w:color="5B9BD5"/>
              <w:left w:val="double" w:sz="2" w:space="0" w:color="5B9BD5"/>
              <w:bottom w:val="double" w:sz="2" w:space="0" w:color="5B9BD5"/>
              <w:right w:val="double" w:sz="2" w:space="0" w:color="5B9BD5"/>
            </w:tcBorders>
            <w:vAlign w:val="center"/>
          </w:tcPr>
          <w:p w14:paraId="60852533"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216,108</w:t>
            </w:r>
          </w:p>
        </w:tc>
        <w:tc>
          <w:tcPr>
            <w:tcW w:w="1708" w:type="dxa"/>
            <w:tcBorders>
              <w:top w:val="double" w:sz="2" w:space="0" w:color="5B9BD5"/>
              <w:left w:val="double" w:sz="2" w:space="0" w:color="5B9BD5"/>
              <w:bottom w:val="double" w:sz="2" w:space="0" w:color="5B9BD5"/>
              <w:right w:val="double" w:sz="2" w:space="0" w:color="5B9BD5"/>
            </w:tcBorders>
            <w:vAlign w:val="center"/>
          </w:tcPr>
          <w:p w14:paraId="6EF108E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,804</w:t>
            </w:r>
          </w:p>
        </w:tc>
        <w:tc>
          <w:tcPr>
            <w:tcW w:w="1628" w:type="dxa"/>
            <w:tcBorders>
              <w:top w:val="double" w:sz="2" w:space="0" w:color="5B9BD5"/>
              <w:left w:val="double" w:sz="2" w:space="0" w:color="5B9BD5"/>
              <w:bottom w:val="double" w:sz="2" w:space="0" w:color="5B9BD5"/>
              <w:right w:val="double" w:sz="2" w:space="0" w:color="5B9BD5"/>
            </w:tcBorders>
            <w:vAlign w:val="center"/>
          </w:tcPr>
          <w:p w14:paraId="2FEFEEB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,755</w:t>
            </w:r>
          </w:p>
        </w:tc>
        <w:tc>
          <w:tcPr>
            <w:tcW w:w="1641" w:type="dxa"/>
            <w:tcBorders>
              <w:top w:val="double" w:sz="2" w:space="0" w:color="5B9BD5"/>
              <w:left w:val="double" w:sz="2" w:space="0" w:color="5B9BD5"/>
              <w:bottom w:val="double" w:sz="2" w:space="0" w:color="5B9BD5"/>
              <w:right w:val="double" w:sz="2" w:space="0" w:color="5B9BD5"/>
            </w:tcBorders>
            <w:vAlign w:val="center"/>
          </w:tcPr>
          <w:p w14:paraId="22A5F07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33F5F37F"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509BD72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AE1</w:t>
            </w:r>
          </w:p>
        </w:tc>
        <w:tc>
          <w:tcPr>
            <w:tcW w:w="1611" w:type="dxa"/>
            <w:tcBorders>
              <w:top w:val="double" w:sz="2" w:space="0" w:color="5B9BD5"/>
              <w:left w:val="double" w:sz="2" w:space="0" w:color="5B9BD5"/>
              <w:bottom w:val="double" w:sz="2" w:space="0" w:color="5B9BD5"/>
              <w:right w:val="double" w:sz="2" w:space="0" w:color="5B9BD5"/>
            </w:tcBorders>
            <w:vAlign w:val="center"/>
          </w:tcPr>
          <w:p w14:paraId="059A0655"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62,62</w:t>
            </w:r>
          </w:p>
        </w:tc>
        <w:tc>
          <w:tcPr>
            <w:tcW w:w="1636" w:type="dxa"/>
            <w:tcBorders>
              <w:top w:val="double" w:sz="2" w:space="0" w:color="5B9BD5"/>
              <w:left w:val="double" w:sz="2" w:space="0" w:color="5B9BD5"/>
              <w:bottom w:val="double" w:sz="2" w:space="0" w:color="5B9BD5"/>
              <w:right w:val="double" w:sz="2" w:space="0" w:color="5B9BD5"/>
            </w:tcBorders>
            <w:vAlign w:val="center"/>
          </w:tcPr>
          <w:p w14:paraId="00F1947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214,220</w:t>
            </w:r>
          </w:p>
        </w:tc>
        <w:tc>
          <w:tcPr>
            <w:tcW w:w="1708" w:type="dxa"/>
            <w:tcBorders>
              <w:top w:val="double" w:sz="2" w:space="0" w:color="5B9BD5"/>
              <w:left w:val="double" w:sz="2" w:space="0" w:color="5B9BD5"/>
              <w:bottom w:val="double" w:sz="2" w:space="0" w:color="5B9BD5"/>
              <w:right w:val="double" w:sz="2" w:space="0" w:color="5B9BD5"/>
            </w:tcBorders>
            <w:vAlign w:val="center"/>
          </w:tcPr>
          <w:p w14:paraId="4ED96BC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,815</w:t>
            </w:r>
          </w:p>
        </w:tc>
        <w:tc>
          <w:tcPr>
            <w:tcW w:w="1628" w:type="dxa"/>
            <w:tcBorders>
              <w:top w:val="double" w:sz="2" w:space="0" w:color="5B9BD5"/>
              <w:left w:val="double" w:sz="2" w:space="0" w:color="5B9BD5"/>
              <w:bottom w:val="double" w:sz="2" w:space="0" w:color="5B9BD5"/>
              <w:right w:val="double" w:sz="2" w:space="0" w:color="5B9BD5"/>
            </w:tcBorders>
            <w:vAlign w:val="center"/>
          </w:tcPr>
          <w:p w14:paraId="060977C3"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,719</w:t>
            </w:r>
          </w:p>
        </w:tc>
        <w:tc>
          <w:tcPr>
            <w:tcW w:w="1641" w:type="dxa"/>
            <w:tcBorders>
              <w:top w:val="double" w:sz="2" w:space="0" w:color="5B9BD5"/>
              <w:left w:val="double" w:sz="2" w:space="0" w:color="5B9BD5"/>
              <w:bottom w:val="double" w:sz="2" w:space="0" w:color="5B9BD5"/>
              <w:right w:val="double" w:sz="2" w:space="0" w:color="5B9BD5"/>
            </w:tcBorders>
            <w:vAlign w:val="center"/>
          </w:tcPr>
          <w:p w14:paraId="34441C1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1137C69A"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7D8B2CD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AE2</w:t>
            </w:r>
          </w:p>
        </w:tc>
        <w:tc>
          <w:tcPr>
            <w:tcW w:w="1611" w:type="dxa"/>
            <w:tcBorders>
              <w:top w:val="double" w:sz="2" w:space="0" w:color="5B9BD5"/>
              <w:left w:val="double" w:sz="2" w:space="0" w:color="5B9BD5"/>
              <w:bottom w:val="double" w:sz="2" w:space="0" w:color="5B9BD5"/>
              <w:right w:val="double" w:sz="2" w:space="0" w:color="5B9BD5"/>
            </w:tcBorders>
            <w:vAlign w:val="center"/>
          </w:tcPr>
          <w:p w14:paraId="5F4549C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63,00</w:t>
            </w:r>
          </w:p>
        </w:tc>
        <w:tc>
          <w:tcPr>
            <w:tcW w:w="1636" w:type="dxa"/>
            <w:tcBorders>
              <w:top w:val="double" w:sz="2" w:space="0" w:color="5B9BD5"/>
              <w:left w:val="double" w:sz="2" w:space="0" w:color="5B9BD5"/>
              <w:bottom w:val="double" w:sz="2" w:space="0" w:color="5B9BD5"/>
              <w:right w:val="double" w:sz="2" w:space="0" w:color="5B9BD5"/>
            </w:tcBorders>
            <w:vAlign w:val="center"/>
          </w:tcPr>
          <w:p w14:paraId="002BCDA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214,992</w:t>
            </w:r>
          </w:p>
        </w:tc>
        <w:tc>
          <w:tcPr>
            <w:tcW w:w="1708" w:type="dxa"/>
            <w:tcBorders>
              <w:top w:val="double" w:sz="2" w:space="0" w:color="5B9BD5"/>
              <w:left w:val="double" w:sz="2" w:space="0" w:color="5B9BD5"/>
              <w:bottom w:val="double" w:sz="2" w:space="0" w:color="5B9BD5"/>
              <w:right w:val="double" w:sz="2" w:space="0" w:color="5B9BD5"/>
            </w:tcBorders>
            <w:vAlign w:val="center"/>
          </w:tcPr>
          <w:p w14:paraId="2B7C62C5"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,697</w:t>
            </w:r>
          </w:p>
        </w:tc>
        <w:tc>
          <w:tcPr>
            <w:tcW w:w="1628" w:type="dxa"/>
            <w:tcBorders>
              <w:top w:val="double" w:sz="2" w:space="0" w:color="5B9BD5"/>
              <w:left w:val="double" w:sz="2" w:space="0" w:color="5B9BD5"/>
              <w:bottom w:val="double" w:sz="2" w:space="0" w:color="5B9BD5"/>
              <w:right w:val="double" w:sz="2" w:space="0" w:color="5B9BD5"/>
            </w:tcBorders>
            <w:vAlign w:val="center"/>
          </w:tcPr>
          <w:p w14:paraId="5DE5EBC5"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,605</w:t>
            </w:r>
          </w:p>
        </w:tc>
        <w:tc>
          <w:tcPr>
            <w:tcW w:w="1641" w:type="dxa"/>
            <w:tcBorders>
              <w:top w:val="double" w:sz="2" w:space="0" w:color="5B9BD5"/>
              <w:left w:val="double" w:sz="2" w:space="0" w:color="5B9BD5"/>
              <w:bottom w:val="double" w:sz="2" w:space="0" w:color="5B9BD5"/>
              <w:right w:val="double" w:sz="2" w:space="0" w:color="5B9BD5"/>
            </w:tcBorders>
            <w:vAlign w:val="center"/>
          </w:tcPr>
          <w:p w14:paraId="5892C260"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,967</w:t>
            </w:r>
          </w:p>
        </w:tc>
      </w:tr>
      <w:tr w:rsidR="00653A61" w14:paraId="486596DB"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23CAC0B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AE3</w:t>
            </w:r>
          </w:p>
        </w:tc>
        <w:tc>
          <w:tcPr>
            <w:tcW w:w="1611" w:type="dxa"/>
            <w:tcBorders>
              <w:top w:val="double" w:sz="2" w:space="0" w:color="5B9BD5"/>
              <w:left w:val="double" w:sz="2" w:space="0" w:color="5B9BD5"/>
              <w:bottom w:val="double" w:sz="2" w:space="0" w:color="5B9BD5"/>
              <w:right w:val="double" w:sz="2" w:space="0" w:color="5B9BD5"/>
            </w:tcBorders>
            <w:vAlign w:val="center"/>
          </w:tcPr>
          <w:p w14:paraId="3450CE61"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62,62</w:t>
            </w:r>
          </w:p>
        </w:tc>
        <w:tc>
          <w:tcPr>
            <w:tcW w:w="1636" w:type="dxa"/>
            <w:tcBorders>
              <w:top w:val="double" w:sz="2" w:space="0" w:color="5B9BD5"/>
              <w:left w:val="double" w:sz="2" w:space="0" w:color="5B9BD5"/>
              <w:bottom w:val="double" w:sz="2" w:space="0" w:color="5B9BD5"/>
              <w:right w:val="double" w:sz="2" w:space="0" w:color="5B9BD5"/>
            </w:tcBorders>
            <w:vAlign w:val="center"/>
          </w:tcPr>
          <w:p w14:paraId="1B0A302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213,882</w:t>
            </w:r>
          </w:p>
        </w:tc>
        <w:tc>
          <w:tcPr>
            <w:tcW w:w="1708" w:type="dxa"/>
            <w:tcBorders>
              <w:top w:val="double" w:sz="2" w:space="0" w:color="5B9BD5"/>
              <w:left w:val="double" w:sz="2" w:space="0" w:color="5B9BD5"/>
              <w:bottom w:val="double" w:sz="2" w:space="0" w:color="5B9BD5"/>
              <w:right w:val="double" w:sz="2" w:space="0" w:color="5B9BD5"/>
            </w:tcBorders>
            <w:vAlign w:val="center"/>
          </w:tcPr>
          <w:p w14:paraId="70E67553"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,815</w:t>
            </w:r>
          </w:p>
        </w:tc>
        <w:tc>
          <w:tcPr>
            <w:tcW w:w="1628" w:type="dxa"/>
            <w:tcBorders>
              <w:top w:val="double" w:sz="2" w:space="0" w:color="5B9BD5"/>
              <w:left w:val="double" w:sz="2" w:space="0" w:color="5B9BD5"/>
              <w:bottom w:val="double" w:sz="2" w:space="0" w:color="5B9BD5"/>
              <w:right w:val="double" w:sz="2" w:space="0" w:color="5B9BD5"/>
            </w:tcBorders>
            <w:vAlign w:val="center"/>
          </w:tcPr>
          <w:p w14:paraId="542FE896"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,716</w:t>
            </w:r>
          </w:p>
        </w:tc>
        <w:tc>
          <w:tcPr>
            <w:tcW w:w="1641" w:type="dxa"/>
            <w:tcBorders>
              <w:top w:val="double" w:sz="2" w:space="0" w:color="5B9BD5"/>
              <w:left w:val="double" w:sz="2" w:space="0" w:color="5B9BD5"/>
              <w:bottom w:val="double" w:sz="2" w:space="0" w:color="5B9BD5"/>
              <w:right w:val="double" w:sz="2" w:space="0" w:color="5B9BD5"/>
            </w:tcBorders>
            <w:vAlign w:val="center"/>
          </w:tcPr>
          <w:p w14:paraId="4CFAB103"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34438E15"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7C59366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AE4</w:t>
            </w:r>
          </w:p>
        </w:tc>
        <w:tc>
          <w:tcPr>
            <w:tcW w:w="1611" w:type="dxa"/>
            <w:tcBorders>
              <w:top w:val="double" w:sz="2" w:space="0" w:color="5B9BD5"/>
              <w:left w:val="double" w:sz="2" w:space="0" w:color="5B9BD5"/>
              <w:bottom w:val="double" w:sz="2" w:space="0" w:color="5B9BD5"/>
              <w:right w:val="double" w:sz="2" w:space="0" w:color="5B9BD5"/>
            </w:tcBorders>
            <w:vAlign w:val="center"/>
          </w:tcPr>
          <w:p w14:paraId="058A293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62,81</w:t>
            </w:r>
          </w:p>
        </w:tc>
        <w:tc>
          <w:tcPr>
            <w:tcW w:w="1636" w:type="dxa"/>
            <w:tcBorders>
              <w:top w:val="double" w:sz="2" w:space="0" w:color="5B9BD5"/>
              <w:left w:val="double" w:sz="2" w:space="0" w:color="5B9BD5"/>
              <w:bottom w:val="double" w:sz="2" w:space="0" w:color="5B9BD5"/>
              <w:right w:val="double" w:sz="2" w:space="0" w:color="5B9BD5"/>
            </w:tcBorders>
            <w:vAlign w:val="center"/>
          </w:tcPr>
          <w:p w14:paraId="205C54F0"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215,656</w:t>
            </w:r>
          </w:p>
        </w:tc>
        <w:tc>
          <w:tcPr>
            <w:tcW w:w="1708" w:type="dxa"/>
            <w:tcBorders>
              <w:top w:val="double" w:sz="2" w:space="0" w:color="5B9BD5"/>
              <w:left w:val="double" w:sz="2" w:space="0" w:color="5B9BD5"/>
              <w:bottom w:val="double" w:sz="2" w:space="0" w:color="5B9BD5"/>
              <w:right w:val="double" w:sz="2" w:space="0" w:color="5B9BD5"/>
            </w:tcBorders>
            <w:vAlign w:val="center"/>
          </w:tcPr>
          <w:p w14:paraId="11333DE0"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,704</w:t>
            </w:r>
          </w:p>
        </w:tc>
        <w:tc>
          <w:tcPr>
            <w:tcW w:w="1628" w:type="dxa"/>
            <w:tcBorders>
              <w:top w:val="double" w:sz="2" w:space="0" w:color="5B9BD5"/>
              <w:left w:val="double" w:sz="2" w:space="0" w:color="5B9BD5"/>
              <w:bottom w:val="double" w:sz="2" w:space="0" w:color="5B9BD5"/>
              <w:right w:val="double" w:sz="2" w:space="0" w:color="5B9BD5"/>
            </w:tcBorders>
            <w:vAlign w:val="center"/>
          </w:tcPr>
          <w:p w14:paraId="75D9872C"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,650</w:t>
            </w:r>
          </w:p>
        </w:tc>
        <w:tc>
          <w:tcPr>
            <w:tcW w:w="1641" w:type="dxa"/>
            <w:tcBorders>
              <w:top w:val="double" w:sz="2" w:space="0" w:color="5B9BD5"/>
              <w:left w:val="double" w:sz="2" w:space="0" w:color="5B9BD5"/>
              <w:bottom w:val="double" w:sz="2" w:space="0" w:color="5B9BD5"/>
              <w:right w:val="double" w:sz="2" w:space="0" w:color="5B9BD5"/>
            </w:tcBorders>
            <w:vAlign w:val="center"/>
          </w:tcPr>
          <w:p w14:paraId="3523AA2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,967</w:t>
            </w:r>
          </w:p>
        </w:tc>
      </w:tr>
      <w:tr w:rsidR="00653A61" w14:paraId="509460CF"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1EAE9565"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ED1</w:t>
            </w:r>
          </w:p>
        </w:tc>
        <w:tc>
          <w:tcPr>
            <w:tcW w:w="1611" w:type="dxa"/>
            <w:tcBorders>
              <w:top w:val="double" w:sz="2" w:space="0" w:color="5B9BD5"/>
              <w:left w:val="double" w:sz="2" w:space="0" w:color="5B9BD5"/>
              <w:bottom w:val="double" w:sz="2" w:space="0" w:color="5B9BD5"/>
              <w:right w:val="double" w:sz="2" w:space="0" w:color="5B9BD5"/>
            </w:tcBorders>
            <w:vAlign w:val="center"/>
          </w:tcPr>
          <w:p w14:paraId="2AA60E66"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62,61</w:t>
            </w:r>
          </w:p>
        </w:tc>
        <w:tc>
          <w:tcPr>
            <w:tcW w:w="1636" w:type="dxa"/>
            <w:tcBorders>
              <w:top w:val="double" w:sz="2" w:space="0" w:color="5B9BD5"/>
              <w:left w:val="double" w:sz="2" w:space="0" w:color="5B9BD5"/>
              <w:bottom w:val="double" w:sz="2" w:space="0" w:color="5B9BD5"/>
              <w:right w:val="double" w:sz="2" w:space="0" w:color="5B9BD5"/>
            </w:tcBorders>
            <w:vAlign w:val="center"/>
          </w:tcPr>
          <w:p w14:paraId="3F83163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214,353</w:t>
            </w:r>
          </w:p>
        </w:tc>
        <w:tc>
          <w:tcPr>
            <w:tcW w:w="1708" w:type="dxa"/>
            <w:tcBorders>
              <w:top w:val="double" w:sz="2" w:space="0" w:color="5B9BD5"/>
              <w:left w:val="double" w:sz="2" w:space="0" w:color="5B9BD5"/>
              <w:bottom w:val="double" w:sz="2" w:space="0" w:color="5B9BD5"/>
              <w:right w:val="double" w:sz="2" w:space="0" w:color="5B9BD5"/>
            </w:tcBorders>
            <w:vAlign w:val="center"/>
          </w:tcPr>
          <w:p w14:paraId="22F796B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,829</w:t>
            </w:r>
          </w:p>
        </w:tc>
        <w:tc>
          <w:tcPr>
            <w:tcW w:w="1628" w:type="dxa"/>
            <w:tcBorders>
              <w:top w:val="double" w:sz="2" w:space="0" w:color="5B9BD5"/>
              <w:left w:val="double" w:sz="2" w:space="0" w:color="5B9BD5"/>
              <w:bottom w:val="double" w:sz="2" w:space="0" w:color="5B9BD5"/>
              <w:right w:val="double" w:sz="2" w:space="0" w:color="5B9BD5"/>
            </w:tcBorders>
            <w:vAlign w:val="center"/>
          </w:tcPr>
          <w:p w14:paraId="0F5EC64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,749</w:t>
            </w:r>
          </w:p>
        </w:tc>
        <w:tc>
          <w:tcPr>
            <w:tcW w:w="1641" w:type="dxa"/>
            <w:tcBorders>
              <w:top w:val="double" w:sz="2" w:space="0" w:color="5B9BD5"/>
              <w:left w:val="double" w:sz="2" w:space="0" w:color="5B9BD5"/>
              <w:bottom w:val="double" w:sz="2" w:space="0" w:color="5B9BD5"/>
              <w:right w:val="double" w:sz="2" w:space="0" w:color="5B9BD5"/>
            </w:tcBorders>
            <w:vAlign w:val="center"/>
          </w:tcPr>
          <w:p w14:paraId="41EA3231"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012FA3A7"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6752CB53"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ED2</w:t>
            </w:r>
          </w:p>
        </w:tc>
        <w:tc>
          <w:tcPr>
            <w:tcW w:w="1611" w:type="dxa"/>
            <w:tcBorders>
              <w:top w:val="double" w:sz="2" w:space="0" w:color="5B9BD5"/>
              <w:left w:val="double" w:sz="2" w:space="0" w:color="5B9BD5"/>
              <w:bottom w:val="double" w:sz="2" w:space="0" w:color="5B9BD5"/>
              <w:right w:val="double" w:sz="2" w:space="0" w:color="5B9BD5"/>
            </w:tcBorders>
            <w:vAlign w:val="center"/>
          </w:tcPr>
          <w:p w14:paraId="6E4F1F1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62,63</w:t>
            </w:r>
          </w:p>
        </w:tc>
        <w:tc>
          <w:tcPr>
            <w:tcW w:w="1636" w:type="dxa"/>
            <w:tcBorders>
              <w:top w:val="double" w:sz="2" w:space="0" w:color="5B9BD5"/>
              <w:left w:val="double" w:sz="2" w:space="0" w:color="5B9BD5"/>
              <w:bottom w:val="double" w:sz="2" w:space="0" w:color="5B9BD5"/>
              <w:right w:val="double" w:sz="2" w:space="0" w:color="5B9BD5"/>
            </w:tcBorders>
            <w:vAlign w:val="center"/>
          </w:tcPr>
          <w:p w14:paraId="6C68C3CB"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213,608</w:t>
            </w:r>
          </w:p>
        </w:tc>
        <w:tc>
          <w:tcPr>
            <w:tcW w:w="1708" w:type="dxa"/>
            <w:tcBorders>
              <w:top w:val="double" w:sz="2" w:space="0" w:color="5B9BD5"/>
              <w:left w:val="double" w:sz="2" w:space="0" w:color="5B9BD5"/>
              <w:bottom w:val="double" w:sz="2" w:space="0" w:color="5B9BD5"/>
              <w:right w:val="double" w:sz="2" w:space="0" w:color="5B9BD5"/>
            </w:tcBorders>
            <w:vAlign w:val="center"/>
          </w:tcPr>
          <w:p w14:paraId="0A2C2821"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,812</w:t>
            </w:r>
          </w:p>
        </w:tc>
        <w:tc>
          <w:tcPr>
            <w:tcW w:w="1628" w:type="dxa"/>
            <w:tcBorders>
              <w:top w:val="double" w:sz="2" w:space="0" w:color="5B9BD5"/>
              <w:left w:val="double" w:sz="2" w:space="0" w:color="5B9BD5"/>
              <w:bottom w:val="double" w:sz="2" w:space="0" w:color="5B9BD5"/>
              <w:right w:val="double" w:sz="2" w:space="0" w:color="5B9BD5"/>
            </w:tcBorders>
            <w:vAlign w:val="center"/>
          </w:tcPr>
          <w:p w14:paraId="5B0C245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,724</w:t>
            </w:r>
          </w:p>
        </w:tc>
        <w:tc>
          <w:tcPr>
            <w:tcW w:w="1641" w:type="dxa"/>
            <w:tcBorders>
              <w:top w:val="double" w:sz="2" w:space="0" w:color="5B9BD5"/>
              <w:left w:val="double" w:sz="2" w:space="0" w:color="5B9BD5"/>
              <w:bottom w:val="double" w:sz="2" w:space="0" w:color="5B9BD5"/>
              <w:right w:val="double" w:sz="2" w:space="0" w:color="5B9BD5"/>
            </w:tcBorders>
            <w:vAlign w:val="center"/>
          </w:tcPr>
          <w:p w14:paraId="7BDA4FA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09D8C92E"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1BA5DE4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ED3</w:t>
            </w:r>
          </w:p>
        </w:tc>
        <w:tc>
          <w:tcPr>
            <w:tcW w:w="1611" w:type="dxa"/>
            <w:tcBorders>
              <w:top w:val="double" w:sz="2" w:space="0" w:color="5B9BD5"/>
              <w:left w:val="double" w:sz="2" w:space="0" w:color="5B9BD5"/>
              <w:bottom w:val="double" w:sz="2" w:space="0" w:color="5B9BD5"/>
              <w:right w:val="double" w:sz="2" w:space="0" w:color="5B9BD5"/>
            </w:tcBorders>
            <w:vAlign w:val="center"/>
          </w:tcPr>
          <w:p w14:paraId="454C8AB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62,48</w:t>
            </w:r>
          </w:p>
        </w:tc>
        <w:tc>
          <w:tcPr>
            <w:tcW w:w="1636" w:type="dxa"/>
            <w:tcBorders>
              <w:top w:val="double" w:sz="2" w:space="0" w:color="5B9BD5"/>
              <w:left w:val="double" w:sz="2" w:space="0" w:color="5B9BD5"/>
              <w:bottom w:val="double" w:sz="2" w:space="0" w:color="5B9BD5"/>
              <w:right w:val="double" w:sz="2" w:space="0" w:color="5B9BD5"/>
            </w:tcBorders>
            <w:vAlign w:val="center"/>
          </w:tcPr>
          <w:p w14:paraId="247202FB"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217,359</w:t>
            </w:r>
          </w:p>
        </w:tc>
        <w:tc>
          <w:tcPr>
            <w:tcW w:w="1708" w:type="dxa"/>
            <w:tcBorders>
              <w:top w:val="double" w:sz="2" w:space="0" w:color="5B9BD5"/>
              <w:left w:val="double" w:sz="2" w:space="0" w:color="5B9BD5"/>
              <w:bottom w:val="double" w:sz="2" w:space="0" w:color="5B9BD5"/>
              <w:right w:val="double" w:sz="2" w:space="0" w:color="5B9BD5"/>
            </w:tcBorders>
            <w:vAlign w:val="center"/>
          </w:tcPr>
          <w:p w14:paraId="44E9226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,782</w:t>
            </w:r>
          </w:p>
        </w:tc>
        <w:tc>
          <w:tcPr>
            <w:tcW w:w="1628" w:type="dxa"/>
            <w:tcBorders>
              <w:top w:val="double" w:sz="2" w:space="0" w:color="5B9BD5"/>
              <w:left w:val="double" w:sz="2" w:space="0" w:color="5B9BD5"/>
              <w:bottom w:val="double" w:sz="2" w:space="0" w:color="5B9BD5"/>
              <w:right w:val="double" w:sz="2" w:space="0" w:color="5B9BD5"/>
            </w:tcBorders>
            <w:vAlign w:val="center"/>
          </w:tcPr>
          <w:p w14:paraId="3ED9FE1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,701</w:t>
            </w:r>
          </w:p>
        </w:tc>
        <w:tc>
          <w:tcPr>
            <w:tcW w:w="1641" w:type="dxa"/>
            <w:tcBorders>
              <w:top w:val="double" w:sz="2" w:space="0" w:color="5B9BD5"/>
              <w:left w:val="double" w:sz="2" w:space="0" w:color="5B9BD5"/>
              <w:bottom w:val="double" w:sz="2" w:space="0" w:color="5B9BD5"/>
              <w:right w:val="double" w:sz="2" w:space="0" w:color="5B9BD5"/>
            </w:tcBorders>
            <w:vAlign w:val="center"/>
          </w:tcPr>
          <w:p w14:paraId="4BF4CFE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,966</w:t>
            </w:r>
          </w:p>
        </w:tc>
      </w:tr>
      <w:tr w:rsidR="00653A61" w14:paraId="03444C1B"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5CAAB1A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ED4</w:t>
            </w:r>
          </w:p>
        </w:tc>
        <w:tc>
          <w:tcPr>
            <w:tcW w:w="1611" w:type="dxa"/>
            <w:tcBorders>
              <w:top w:val="double" w:sz="2" w:space="0" w:color="5B9BD5"/>
              <w:left w:val="double" w:sz="2" w:space="0" w:color="5B9BD5"/>
              <w:bottom w:val="double" w:sz="2" w:space="0" w:color="5B9BD5"/>
              <w:right w:val="double" w:sz="2" w:space="0" w:color="5B9BD5"/>
            </w:tcBorders>
            <w:vAlign w:val="center"/>
          </w:tcPr>
          <w:p w14:paraId="1B6DC8C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62,53</w:t>
            </w:r>
          </w:p>
        </w:tc>
        <w:tc>
          <w:tcPr>
            <w:tcW w:w="1636" w:type="dxa"/>
            <w:tcBorders>
              <w:top w:val="double" w:sz="2" w:space="0" w:color="5B9BD5"/>
              <w:left w:val="double" w:sz="2" w:space="0" w:color="5B9BD5"/>
              <w:bottom w:val="double" w:sz="2" w:space="0" w:color="5B9BD5"/>
              <w:right w:val="double" w:sz="2" w:space="0" w:color="5B9BD5"/>
            </w:tcBorders>
            <w:vAlign w:val="center"/>
          </w:tcPr>
          <w:p w14:paraId="5DBD53B6"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216,440</w:t>
            </w:r>
          </w:p>
        </w:tc>
        <w:tc>
          <w:tcPr>
            <w:tcW w:w="1708" w:type="dxa"/>
            <w:tcBorders>
              <w:top w:val="double" w:sz="2" w:space="0" w:color="5B9BD5"/>
              <w:left w:val="double" w:sz="2" w:space="0" w:color="5B9BD5"/>
              <w:bottom w:val="double" w:sz="2" w:space="0" w:color="5B9BD5"/>
              <w:right w:val="double" w:sz="2" w:space="0" w:color="5B9BD5"/>
            </w:tcBorders>
            <w:vAlign w:val="center"/>
          </w:tcPr>
          <w:p w14:paraId="434154E5"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,788</w:t>
            </w:r>
          </w:p>
        </w:tc>
        <w:tc>
          <w:tcPr>
            <w:tcW w:w="1628" w:type="dxa"/>
            <w:tcBorders>
              <w:top w:val="double" w:sz="2" w:space="0" w:color="5B9BD5"/>
              <w:left w:val="double" w:sz="2" w:space="0" w:color="5B9BD5"/>
              <w:bottom w:val="double" w:sz="2" w:space="0" w:color="5B9BD5"/>
              <w:right w:val="double" w:sz="2" w:space="0" w:color="5B9BD5"/>
            </w:tcBorders>
            <w:vAlign w:val="center"/>
          </w:tcPr>
          <w:p w14:paraId="3C629E9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,716</w:t>
            </w:r>
          </w:p>
        </w:tc>
        <w:tc>
          <w:tcPr>
            <w:tcW w:w="1641" w:type="dxa"/>
            <w:tcBorders>
              <w:top w:val="double" w:sz="2" w:space="0" w:color="5B9BD5"/>
              <w:left w:val="double" w:sz="2" w:space="0" w:color="5B9BD5"/>
              <w:bottom w:val="double" w:sz="2" w:space="0" w:color="5B9BD5"/>
              <w:right w:val="double" w:sz="2" w:space="0" w:color="5B9BD5"/>
            </w:tcBorders>
            <w:vAlign w:val="center"/>
          </w:tcPr>
          <w:p w14:paraId="2E6C13E7"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220DBD1F"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6E284A5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CC1</w:t>
            </w:r>
          </w:p>
        </w:tc>
        <w:tc>
          <w:tcPr>
            <w:tcW w:w="1611" w:type="dxa"/>
            <w:tcBorders>
              <w:top w:val="double" w:sz="2" w:space="0" w:color="5B9BD5"/>
              <w:left w:val="double" w:sz="2" w:space="0" w:color="5B9BD5"/>
              <w:bottom w:val="double" w:sz="2" w:space="0" w:color="5B9BD5"/>
              <w:right w:val="double" w:sz="2" w:space="0" w:color="5B9BD5"/>
            </w:tcBorders>
            <w:vAlign w:val="center"/>
          </w:tcPr>
          <w:p w14:paraId="1AB92E6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62,92</w:t>
            </w:r>
          </w:p>
        </w:tc>
        <w:tc>
          <w:tcPr>
            <w:tcW w:w="1636" w:type="dxa"/>
            <w:tcBorders>
              <w:top w:val="double" w:sz="2" w:space="0" w:color="5B9BD5"/>
              <w:left w:val="double" w:sz="2" w:space="0" w:color="5B9BD5"/>
              <w:bottom w:val="double" w:sz="2" w:space="0" w:color="5B9BD5"/>
              <w:right w:val="double" w:sz="2" w:space="0" w:color="5B9BD5"/>
            </w:tcBorders>
            <w:vAlign w:val="center"/>
          </w:tcPr>
          <w:p w14:paraId="4D36B9F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212,464</w:t>
            </w:r>
          </w:p>
        </w:tc>
        <w:tc>
          <w:tcPr>
            <w:tcW w:w="1708" w:type="dxa"/>
            <w:tcBorders>
              <w:top w:val="double" w:sz="2" w:space="0" w:color="5B9BD5"/>
              <w:left w:val="double" w:sz="2" w:space="0" w:color="5B9BD5"/>
              <w:bottom w:val="double" w:sz="2" w:space="0" w:color="5B9BD5"/>
              <w:right w:val="double" w:sz="2" w:space="0" w:color="5B9BD5"/>
            </w:tcBorders>
            <w:vAlign w:val="center"/>
          </w:tcPr>
          <w:p w14:paraId="4789965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,771</w:t>
            </w:r>
          </w:p>
        </w:tc>
        <w:tc>
          <w:tcPr>
            <w:tcW w:w="1628" w:type="dxa"/>
            <w:tcBorders>
              <w:top w:val="double" w:sz="2" w:space="0" w:color="5B9BD5"/>
              <w:left w:val="double" w:sz="2" w:space="0" w:color="5B9BD5"/>
              <w:bottom w:val="double" w:sz="2" w:space="0" w:color="5B9BD5"/>
              <w:right w:val="double" w:sz="2" w:space="0" w:color="5B9BD5"/>
            </w:tcBorders>
            <w:vAlign w:val="center"/>
          </w:tcPr>
          <w:p w14:paraId="045A793B"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,621</w:t>
            </w:r>
          </w:p>
        </w:tc>
        <w:tc>
          <w:tcPr>
            <w:tcW w:w="1641" w:type="dxa"/>
            <w:tcBorders>
              <w:top w:val="double" w:sz="2" w:space="0" w:color="5B9BD5"/>
              <w:left w:val="double" w:sz="2" w:space="0" w:color="5B9BD5"/>
              <w:bottom w:val="double" w:sz="2" w:space="0" w:color="5B9BD5"/>
              <w:right w:val="double" w:sz="2" w:space="0" w:color="5B9BD5"/>
            </w:tcBorders>
            <w:vAlign w:val="center"/>
          </w:tcPr>
          <w:p w14:paraId="1DE9812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,966</w:t>
            </w:r>
          </w:p>
        </w:tc>
      </w:tr>
      <w:tr w:rsidR="00653A61" w14:paraId="0F02D044"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041D07F6"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CC2</w:t>
            </w:r>
          </w:p>
        </w:tc>
        <w:tc>
          <w:tcPr>
            <w:tcW w:w="1611" w:type="dxa"/>
            <w:tcBorders>
              <w:top w:val="double" w:sz="2" w:space="0" w:color="5B9BD5"/>
              <w:left w:val="double" w:sz="2" w:space="0" w:color="5B9BD5"/>
              <w:bottom w:val="double" w:sz="2" w:space="0" w:color="5B9BD5"/>
              <w:right w:val="double" w:sz="2" w:space="0" w:color="5B9BD5"/>
            </w:tcBorders>
            <w:vAlign w:val="center"/>
          </w:tcPr>
          <w:p w14:paraId="68C7169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62,44</w:t>
            </w:r>
          </w:p>
        </w:tc>
        <w:tc>
          <w:tcPr>
            <w:tcW w:w="1636" w:type="dxa"/>
            <w:tcBorders>
              <w:top w:val="double" w:sz="2" w:space="0" w:color="5B9BD5"/>
              <w:left w:val="double" w:sz="2" w:space="0" w:color="5B9BD5"/>
              <w:bottom w:val="double" w:sz="2" w:space="0" w:color="5B9BD5"/>
              <w:right w:val="double" w:sz="2" w:space="0" w:color="5B9BD5"/>
            </w:tcBorders>
            <w:vAlign w:val="center"/>
          </w:tcPr>
          <w:p w14:paraId="38BAC83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217,339</w:t>
            </w:r>
          </w:p>
        </w:tc>
        <w:tc>
          <w:tcPr>
            <w:tcW w:w="1708" w:type="dxa"/>
            <w:tcBorders>
              <w:top w:val="double" w:sz="2" w:space="0" w:color="5B9BD5"/>
              <w:left w:val="double" w:sz="2" w:space="0" w:color="5B9BD5"/>
              <w:bottom w:val="double" w:sz="2" w:space="0" w:color="5B9BD5"/>
              <w:right w:val="double" w:sz="2" w:space="0" w:color="5B9BD5"/>
            </w:tcBorders>
            <w:vAlign w:val="center"/>
          </w:tcPr>
          <w:p w14:paraId="709EED1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,795</w:t>
            </w:r>
          </w:p>
        </w:tc>
        <w:tc>
          <w:tcPr>
            <w:tcW w:w="1628" w:type="dxa"/>
            <w:tcBorders>
              <w:top w:val="double" w:sz="2" w:space="0" w:color="5B9BD5"/>
              <w:left w:val="double" w:sz="2" w:space="0" w:color="5B9BD5"/>
              <w:bottom w:val="double" w:sz="2" w:space="0" w:color="5B9BD5"/>
              <w:right w:val="double" w:sz="2" w:space="0" w:color="5B9BD5"/>
            </w:tcBorders>
            <w:vAlign w:val="center"/>
          </w:tcPr>
          <w:p w14:paraId="1BFB98A1"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,698</w:t>
            </w:r>
          </w:p>
        </w:tc>
        <w:tc>
          <w:tcPr>
            <w:tcW w:w="1641" w:type="dxa"/>
            <w:tcBorders>
              <w:top w:val="double" w:sz="2" w:space="0" w:color="5B9BD5"/>
              <w:left w:val="double" w:sz="2" w:space="0" w:color="5B9BD5"/>
              <w:bottom w:val="double" w:sz="2" w:space="0" w:color="5B9BD5"/>
              <w:right w:val="double" w:sz="2" w:space="0" w:color="5B9BD5"/>
            </w:tcBorders>
            <w:vAlign w:val="center"/>
          </w:tcPr>
          <w:p w14:paraId="1E1B0E5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4CA44C2A"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79FC894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CC3</w:t>
            </w:r>
          </w:p>
        </w:tc>
        <w:tc>
          <w:tcPr>
            <w:tcW w:w="1611" w:type="dxa"/>
            <w:tcBorders>
              <w:top w:val="double" w:sz="2" w:space="0" w:color="5B9BD5"/>
              <w:left w:val="double" w:sz="2" w:space="0" w:color="5B9BD5"/>
              <w:bottom w:val="double" w:sz="2" w:space="0" w:color="5B9BD5"/>
              <w:right w:val="double" w:sz="2" w:space="0" w:color="5B9BD5"/>
            </w:tcBorders>
            <w:vAlign w:val="center"/>
          </w:tcPr>
          <w:p w14:paraId="682C75E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62,87</w:t>
            </w:r>
          </w:p>
        </w:tc>
        <w:tc>
          <w:tcPr>
            <w:tcW w:w="1636" w:type="dxa"/>
            <w:tcBorders>
              <w:top w:val="double" w:sz="2" w:space="0" w:color="5B9BD5"/>
              <w:left w:val="double" w:sz="2" w:space="0" w:color="5B9BD5"/>
              <w:bottom w:val="double" w:sz="2" w:space="0" w:color="5B9BD5"/>
              <w:right w:val="double" w:sz="2" w:space="0" w:color="5B9BD5"/>
            </w:tcBorders>
            <w:vAlign w:val="center"/>
          </w:tcPr>
          <w:p w14:paraId="0CB4602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212,200</w:t>
            </w:r>
          </w:p>
        </w:tc>
        <w:tc>
          <w:tcPr>
            <w:tcW w:w="1708" w:type="dxa"/>
            <w:tcBorders>
              <w:top w:val="double" w:sz="2" w:space="0" w:color="5B9BD5"/>
              <w:left w:val="double" w:sz="2" w:space="0" w:color="5B9BD5"/>
              <w:bottom w:val="double" w:sz="2" w:space="0" w:color="5B9BD5"/>
              <w:right w:val="double" w:sz="2" w:space="0" w:color="5B9BD5"/>
            </w:tcBorders>
            <w:vAlign w:val="center"/>
          </w:tcPr>
          <w:p w14:paraId="7ED9C9A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,807</w:t>
            </w:r>
          </w:p>
        </w:tc>
        <w:tc>
          <w:tcPr>
            <w:tcW w:w="1628" w:type="dxa"/>
            <w:tcBorders>
              <w:top w:val="double" w:sz="2" w:space="0" w:color="5B9BD5"/>
              <w:left w:val="double" w:sz="2" w:space="0" w:color="5B9BD5"/>
              <w:bottom w:val="double" w:sz="2" w:space="0" w:color="5B9BD5"/>
              <w:right w:val="double" w:sz="2" w:space="0" w:color="5B9BD5"/>
            </w:tcBorders>
            <w:vAlign w:val="center"/>
          </w:tcPr>
          <w:p w14:paraId="041AE850"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,743</w:t>
            </w:r>
          </w:p>
        </w:tc>
        <w:tc>
          <w:tcPr>
            <w:tcW w:w="1641" w:type="dxa"/>
            <w:tcBorders>
              <w:top w:val="double" w:sz="2" w:space="0" w:color="5B9BD5"/>
              <w:left w:val="double" w:sz="2" w:space="0" w:color="5B9BD5"/>
              <w:bottom w:val="double" w:sz="2" w:space="0" w:color="5B9BD5"/>
              <w:right w:val="double" w:sz="2" w:space="0" w:color="5B9BD5"/>
            </w:tcBorders>
            <w:vAlign w:val="center"/>
          </w:tcPr>
          <w:p w14:paraId="174EFF4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6A589D4B"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560ACD6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CC4</w:t>
            </w:r>
          </w:p>
        </w:tc>
        <w:tc>
          <w:tcPr>
            <w:tcW w:w="1611" w:type="dxa"/>
            <w:tcBorders>
              <w:top w:val="double" w:sz="2" w:space="0" w:color="5B9BD5"/>
              <w:left w:val="double" w:sz="2" w:space="0" w:color="5B9BD5"/>
              <w:bottom w:val="double" w:sz="2" w:space="0" w:color="5B9BD5"/>
              <w:right w:val="double" w:sz="2" w:space="0" w:color="5B9BD5"/>
            </w:tcBorders>
            <w:vAlign w:val="center"/>
          </w:tcPr>
          <w:p w14:paraId="7776188B"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62,86</w:t>
            </w:r>
          </w:p>
        </w:tc>
        <w:tc>
          <w:tcPr>
            <w:tcW w:w="1636" w:type="dxa"/>
            <w:tcBorders>
              <w:top w:val="double" w:sz="2" w:space="0" w:color="5B9BD5"/>
              <w:left w:val="double" w:sz="2" w:space="0" w:color="5B9BD5"/>
              <w:bottom w:val="double" w:sz="2" w:space="0" w:color="5B9BD5"/>
              <w:right w:val="double" w:sz="2" w:space="0" w:color="5B9BD5"/>
            </w:tcBorders>
            <w:vAlign w:val="center"/>
          </w:tcPr>
          <w:p w14:paraId="08987493"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211,482</w:t>
            </w:r>
          </w:p>
        </w:tc>
        <w:tc>
          <w:tcPr>
            <w:tcW w:w="1708" w:type="dxa"/>
            <w:tcBorders>
              <w:top w:val="double" w:sz="2" w:space="0" w:color="5B9BD5"/>
              <w:left w:val="double" w:sz="2" w:space="0" w:color="5B9BD5"/>
              <w:bottom w:val="double" w:sz="2" w:space="0" w:color="5B9BD5"/>
              <w:right w:val="double" w:sz="2" w:space="0" w:color="5B9BD5"/>
            </w:tcBorders>
            <w:vAlign w:val="center"/>
          </w:tcPr>
          <w:p w14:paraId="5BBCEA6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,807</w:t>
            </w:r>
          </w:p>
        </w:tc>
        <w:tc>
          <w:tcPr>
            <w:tcW w:w="1628" w:type="dxa"/>
            <w:tcBorders>
              <w:top w:val="double" w:sz="2" w:space="0" w:color="5B9BD5"/>
              <w:left w:val="double" w:sz="2" w:space="0" w:color="5B9BD5"/>
              <w:bottom w:val="double" w:sz="2" w:space="0" w:color="5B9BD5"/>
              <w:right w:val="double" w:sz="2" w:space="0" w:color="5B9BD5"/>
            </w:tcBorders>
            <w:vAlign w:val="center"/>
          </w:tcPr>
          <w:p w14:paraId="7979DB7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,758</w:t>
            </w:r>
          </w:p>
        </w:tc>
        <w:tc>
          <w:tcPr>
            <w:tcW w:w="1641" w:type="dxa"/>
            <w:tcBorders>
              <w:top w:val="double" w:sz="2" w:space="0" w:color="5B9BD5"/>
              <w:left w:val="double" w:sz="2" w:space="0" w:color="5B9BD5"/>
              <w:bottom w:val="double" w:sz="2" w:space="0" w:color="5B9BD5"/>
              <w:right w:val="double" w:sz="2" w:space="0" w:color="5B9BD5"/>
            </w:tcBorders>
            <w:vAlign w:val="center"/>
          </w:tcPr>
          <w:p w14:paraId="52E65BB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51357FFD"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64973A15"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PL1</w:t>
            </w:r>
          </w:p>
        </w:tc>
        <w:tc>
          <w:tcPr>
            <w:tcW w:w="1611" w:type="dxa"/>
            <w:tcBorders>
              <w:top w:val="double" w:sz="2" w:space="0" w:color="5B9BD5"/>
              <w:left w:val="double" w:sz="2" w:space="0" w:color="5B9BD5"/>
              <w:bottom w:val="double" w:sz="2" w:space="0" w:color="5B9BD5"/>
              <w:right w:val="double" w:sz="2" w:space="0" w:color="5B9BD5"/>
            </w:tcBorders>
            <w:vAlign w:val="center"/>
          </w:tcPr>
          <w:p w14:paraId="189C30C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63,01</w:t>
            </w:r>
          </w:p>
        </w:tc>
        <w:tc>
          <w:tcPr>
            <w:tcW w:w="1636" w:type="dxa"/>
            <w:tcBorders>
              <w:top w:val="double" w:sz="2" w:space="0" w:color="5B9BD5"/>
              <w:left w:val="double" w:sz="2" w:space="0" w:color="5B9BD5"/>
              <w:bottom w:val="double" w:sz="2" w:space="0" w:color="5B9BD5"/>
              <w:right w:val="double" w:sz="2" w:space="0" w:color="5B9BD5"/>
            </w:tcBorders>
            <w:vAlign w:val="center"/>
          </w:tcPr>
          <w:p w14:paraId="3B088435"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211,231</w:t>
            </w:r>
          </w:p>
        </w:tc>
        <w:tc>
          <w:tcPr>
            <w:tcW w:w="1708" w:type="dxa"/>
            <w:tcBorders>
              <w:top w:val="double" w:sz="2" w:space="0" w:color="5B9BD5"/>
              <w:left w:val="double" w:sz="2" w:space="0" w:color="5B9BD5"/>
              <w:bottom w:val="double" w:sz="2" w:space="0" w:color="5B9BD5"/>
              <w:right w:val="double" w:sz="2" w:space="0" w:color="5B9BD5"/>
            </w:tcBorders>
            <w:vAlign w:val="center"/>
          </w:tcPr>
          <w:p w14:paraId="50C4C26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,813</w:t>
            </w:r>
          </w:p>
        </w:tc>
        <w:tc>
          <w:tcPr>
            <w:tcW w:w="1628" w:type="dxa"/>
            <w:tcBorders>
              <w:top w:val="double" w:sz="2" w:space="0" w:color="5B9BD5"/>
              <w:left w:val="double" w:sz="2" w:space="0" w:color="5B9BD5"/>
              <w:bottom w:val="double" w:sz="2" w:space="0" w:color="5B9BD5"/>
              <w:right w:val="double" w:sz="2" w:space="0" w:color="5B9BD5"/>
            </w:tcBorders>
            <w:vAlign w:val="center"/>
          </w:tcPr>
          <w:p w14:paraId="276247B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,799</w:t>
            </w:r>
          </w:p>
        </w:tc>
        <w:tc>
          <w:tcPr>
            <w:tcW w:w="1641" w:type="dxa"/>
            <w:tcBorders>
              <w:top w:val="double" w:sz="2" w:space="0" w:color="5B9BD5"/>
              <w:left w:val="double" w:sz="2" w:space="0" w:color="5B9BD5"/>
              <w:bottom w:val="double" w:sz="2" w:space="0" w:color="5B9BD5"/>
              <w:right w:val="double" w:sz="2" w:space="0" w:color="5B9BD5"/>
            </w:tcBorders>
            <w:vAlign w:val="center"/>
          </w:tcPr>
          <w:p w14:paraId="006581E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,965</w:t>
            </w:r>
          </w:p>
        </w:tc>
      </w:tr>
      <w:tr w:rsidR="00653A61" w14:paraId="667EEDFC" w14:textId="77777777">
        <w:tc>
          <w:tcPr>
            <w:tcW w:w="599" w:type="dxa"/>
            <w:tcBorders>
              <w:top w:val="double" w:sz="2" w:space="0" w:color="5B9BD5"/>
              <w:left w:val="double" w:sz="2" w:space="0" w:color="5B9BD5"/>
              <w:bottom w:val="double" w:sz="2" w:space="0" w:color="5B9BD5"/>
              <w:right w:val="double" w:sz="2" w:space="0" w:color="5B9BD5"/>
            </w:tcBorders>
            <w:vAlign w:val="center"/>
          </w:tcPr>
          <w:p w14:paraId="0C7BFD8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PL2</w:t>
            </w:r>
          </w:p>
        </w:tc>
        <w:tc>
          <w:tcPr>
            <w:tcW w:w="1611" w:type="dxa"/>
            <w:tcBorders>
              <w:top w:val="double" w:sz="2" w:space="0" w:color="5B9BD5"/>
              <w:left w:val="double" w:sz="2" w:space="0" w:color="5B9BD5"/>
              <w:bottom w:val="double" w:sz="2" w:space="0" w:color="5B9BD5"/>
              <w:right w:val="double" w:sz="2" w:space="0" w:color="5B9BD5"/>
            </w:tcBorders>
            <w:vAlign w:val="center"/>
          </w:tcPr>
          <w:p w14:paraId="0BBA0C7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63,13</w:t>
            </w:r>
          </w:p>
        </w:tc>
        <w:tc>
          <w:tcPr>
            <w:tcW w:w="1636" w:type="dxa"/>
            <w:tcBorders>
              <w:top w:val="double" w:sz="2" w:space="0" w:color="5B9BD5"/>
              <w:left w:val="double" w:sz="2" w:space="0" w:color="5B9BD5"/>
              <w:bottom w:val="double" w:sz="2" w:space="0" w:color="5B9BD5"/>
              <w:right w:val="double" w:sz="2" w:space="0" w:color="5B9BD5"/>
            </w:tcBorders>
            <w:vAlign w:val="center"/>
          </w:tcPr>
          <w:p w14:paraId="7B7E1F8D"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216,018</w:t>
            </w:r>
          </w:p>
        </w:tc>
        <w:tc>
          <w:tcPr>
            <w:tcW w:w="1708" w:type="dxa"/>
            <w:tcBorders>
              <w:top w:val="double" w:sz="2" w:space="0" w:color="5B9BD5"/>
              <w:left w:val="double" w:sz="2" w:space="0" w:color="5B9BD5"/>
              <w:bottom w:val="double" w:sz="2" w:space="0" w:color="5B9BD5"/>
              <w:right w:val="double" w:sz="2" w:space="0" w:color="5B9BD5"/>
            </w:tcBorders>
            <w:vAlign w:val="center"/>
          </w:tcPr>
          <w:p w14:paraId="308D6600"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,656</w:t>
            </w:r>
          </w:p>
        </w:tc>
        <w:tc>
          <w:tcPr>
            <w:tcW w:w="1628" w:type="dxa"/>
            <w:tcBorders>
              <w:top w:val="double" w:sz="2" w:space="0" w:color="5B9BD5"/>
              <w:left w:val="double" w:sz="2" w:space="0" w:color="5B9BD5"/>
              <w:bottom w:val="double" w:sz="2" w:space="0" w:color="5B9BD5"/>
              <w:right w:val="double" w:sz="2" w:space="0" w:color="5B9BD5"/>
            </w:tcBorders>
            <w:vAlign w:val="center"/>
          </w:tcPr>
          <w:p w14:paraId="3B8ED88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,543</w:t>
            </w:r>
          </w:p>
        </w:tc>
        <w:tc>
          <w:tcPr>
            <w:tcW w:w="1641" w:type="dxa"/>
            <w:tcBorders>
              <w:top w:val="double" w:sz="2" w:space="0" w:color="5B9BD5"/>
              <w:left w:val="double" w:sz="2" w:space="0" w:color="5B9BD5"/>
              <w:bottom w:val="double" w:sz="2" w:space="0" w:color="5B9BD5"/>
              <w:right w:val="double" w:sz="2" w:space="0" w:color="5B9BD5"/>
            </w:tcBorders>
            <w:vAlign w:val="center"/>
          </w:tcPr>
          <w:p w14:paraId="72168F28"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,967</w:t>
            </w:r>
          </w:p>
        </w:tc>
      </w:tr>
    </w:tbl>
    <w:p w14:paraId="2E7CD183" w14:textId="77777777" w:rsidR="00653A61" w:rsidRDefault="00653A61">
      <w:pPr>
        <w:jc w:val="both"/>
        <w:rPr>
          <w:rFonts w:ascii="Arial" w:hAnsi="Arial" w:cs="Arial"/>
          <w:color w:val="2E74B5" w:themeColor="accent1" w:themeShade="BF"/>
          <w:sz w:val="24"/>
          <w:szCs w:val="24"/>
        </w:rPr>
      </w:pPr>
    </w:p>
    <w:p w14:paraId="057E56D3"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Fuente: </w:t>
      </w:r>
      <w:r>
        <w:rPr>
          <w:rFonts w:ascii="Arial" w:hAnsi="Arial" w:cs="Arial"/>
          <w:color w:val="2E74B5" w:themeColor="accent1" w:themeShade="BF"/>
          <w:sz w:val="24"/>
          <w:szCs w:val="24"/>
        </w:rPr>
        <w:t>Elaboración propia a partir de resultados obtenidos en SPSS.</w:t>
      </w:r>
    </w:p>
    <w:p w14:paraId="5AD5940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w:t>
      </w:r>
    </w:p>
    <w:p w14:paraId="4E9C8CE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Con el fin de evaluar la consistencia interna del instrumento, se aplicó el coeficiente Alfa de Cronbach para los 18 ítems que conforman la escala. Los resultados muestran un Alfa de Cronbach (se verificó la pertinencia conceptual de los ítems para evitar redundancia) de 0,967 y un Alfa basado en elementos estandarizados de 0,969, valores que evidencian un nivel de confiabilidad excelente para el instrumento utilizado. </w:t>
      </w:r>
    </w:p>
    <w:p w14:paraId="66D7961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De igual manera, las correlaciones ítem totales corregidas oscilaron entre 0,656 y 0,829, superando ampliamente el valor mínimo recomendado de 0,30, lo que indica una adecuada consistencia interna entre los elementos de la escala. Asimismo, el Alfa de Cronbach si el elemento se ha suprimido se mantuvo entre 0,965 y 0,967, evidenciando que la eliminación de ningún ítem mejora significativamente la confiabilidad general del instrumento. </w:t>
      </w:r>
    </w:p>
    <w:p w14:paraId="77A61EC9" w14:textId="77777777" w:rsidR="00653A61" w:rsidRDefault="00653A61">
      <w:pPr>
        <w:jc w:val="both"/>
        <w:rPr>
          <w:rFonts w:ascii="Arial" w:hAnsi="Arial" w:cs="Arial"/>
          <w:color w:val="2E74B5" w:themeColor="accent1" w:themeShade="BF"/>
          <w:sz w:val="24"/>
          <w:szCs w:val="24"/>
        </w:rPr>
      </w:pPr>
    </w:p>
    <w:p w14:paraId="3AF7FFD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términos generales, los resultados permiten concluir que el instrumento ofrece una alta fiabilidad y consistencia interna, siendo adecuado para el análisis de las variables propuestas en la investigación.</w:t>
      </w:r>
    </w:p>
    <w:p w14:paraId="571E36C4" w14:textId="77777777" w:rsidR="00653A61" w:rsidRDefault="00653A61">
      <w:pPr>
        <w:jc w:val="both"/>
        <w:rPr>
          <w:rFonts w:ascii="Arial" w:hAnsi="Arial" w:cs="Arial"/>
          <w:b/>
          <w:bCs/>
          <w:color w:val="2E74B5" w:themeColor="accent1" w:themeShade="BF"/>
          <w:sz w:val="24"/>
          <w:szCs w:val="24"/>
        </w:rPr>
      </w:pPr>
    </w:p>
    <w:p w14:paraId="3D27D35F"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3.5 Validez factorial del instrumento</w:t>
      </w:r>
    </w:p>
    <w:p w14:paraId="3BE4B901" w14:textId="77777777" w:rsidR="00653A61" w:rsidRDefault="00653A61">
      <w:pPr>
        <w:jc w:val="both"/>
        <w:rPr>
          <w:rFonts w:ascii="Arial" w:hAnsi="Arial" w:cs="Arial"/>
          <w:color w:val="2E74B5" w:themeColor="accent1" w:themeShade="BF"/>
          <w:sz w:val="24"/>
          <w:szCs w:val="24"/>
        </w:rPr>
      </w:pPr>
    </w:p>
    <w:p w14:paraId="509A3EDE" w14:textId="316BC47F"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Con el propósito de evaluar la validez factorial del instrumento, se realizó un análisis factorial exploratorio mediante el método de componentes principales con rotación </w:t>
      </w:r>
      <w:proofErr w:type="spellStart"/>
      <w:r>
        <w:rPr>
          <w:rFonts w:ascii="Arial" w:hAnsi="Arial" w:cs="Arial"/>
          <w:color w:val="2E74B5" w:themeColor="accent1" w:themeShade="BF"/>
          <w:sz w:val="24"/>
          <w:szCs w:val="24"/>
        </w:rPr>
        <w:t>Varimax</w:t>
      </w:r>
      <w:proofErr w:type="spellEnd"/>
      <w:r w:rsidR="009D095F">
        <w:rPr>
          <w:rFonts w:ascii="Arial" w:hAnsi="Arial" w:cs="Arial"/>
          <w:color w:val="2E74B5" w:themeColor="accent1" w:themeShade="BF"/>
          <w:sz w:val="24"/>
          <w:szCs w:val="24"/>
        </w:rPr>
        <w:t>.</w:t>
      </w:r>
    </w:p>
    <w:p w14:paraId="486AACE1" w14:textId="77777777" w:rsidR="00653A61" w:rsidRDefault="00653A61">
      <w:pPr>
        <w:jc w:val="both"/>
        <w:rPr>
          <w:rFonts w:ascii="Arial" w:hAnsi="Arial" w:cs="Arial"/>
          <w:color w:val="2E74B5" w:themeColor="accent1" w:themeShade="BF"/>
          <w:sz w:val="24"/>
          <w:szCs w:val="24"/>
        </w:rPr>
      </w:pPr>
    </w:p>
    <w:p w14:paraId="3F771299"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Tabla 11: Prueba KMO y Bartlett</w:t>
      </w:r>
    </w:p>
    <w:p w14:paraId="56114FC6" w14:textId="77777777" w:rsidR="00653A61" w:rsidRDefault="00653A61">
      <w:pPr>
        <w:jc w:val="center"/>
        <w:rPr>
          <w:rFonts w:ascii="Arial" w:hAnsi="Arial" w:cs="Arial"/>
          <w:color w:val="2E74B5" w:themeColor="accent1" w:themeShade="BF"/>
          <w:sz w:val="24"/>
          <w:szCs w:val="24"/>
        </w:rPr>
      </w:pPr>
    </w:p>
    <w:tbl>
      <w:tblPr>
        <w:tblW w:w="5295" w:type="dxa"/>
        <w:jc w:val="center"/>
        <w:tblLayout w:type="fixed"/>
        <w:tblCellMar>
          <w:top w:w="15" w:type="dxa"/>
          <w:left w:w="15" w:type="dxa"/>
          <w:bottom w:w="15" w:type="dxa"/>
          <w:right w:w="15" w:type="dxa"/>
        </w:tblCellMar>
        <w:tblLook w:val="04A0" w:firstRow="1" w:lastRow="0" w:firstColumn="1" w:lastColumn="0" w:noHBand="0" w:noVBand="1"/>
      </w:tblPr>
      <w:tblGrid>
        <w:gridCol w:w="4027"/>
        <w:gridCol w:w="1268"/>
      </w:tblGrid>
      <w:tr w:rsidR="00653A61" w14:paraId="6F954E52" w14:textId="77777777">
        <w:trPr>
          <w:tblHeader/>
          <w:jc w:val="center"/>
        </w:trPr>
        <w:tc>
          <w:tcPr>
            <w:tcW w:w="4027" w:type="dxa"/>
            <w:tcBorders>
              <w:top w:val="double" w:sz="2" w:space="0" w:color="5B9BD5"/>
              <w:left w:val="double" w:sz="2" w:space="0" w:color="5B9BD5"/>
              <w:bottom w:val="double" w:sz="2" w:space="0" w:color="5B9BD5"/>
              <w:right w:val="double" w:sz="2" w:space="0" w:color="5B9BD5"/>
            </w:tcBorders>
            <w:vAlign w:val="center"/>
          </w:tcPr>
          <w:p w14:paraId="712E30C0"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Prueba</w:t>
            </w:r>
          </w:p>
        </w:tc>
        <w:tc>
          <w:tcPr>
            <w:tcW w:w="1268" w:type="dxa"/>
            <w:tcBorders>
              <w:top w:val="double" w:sz="2" w:space="0" w:color="5B9BD5"/>
              <w:left w:val="double" w:sz="2" w:space="0" w:color="5B9BD5"/>
              <w:bottom w:val="double" w:sz="2" w:space="0" w:color="5B9BD5"/>
              <w:right w:val="double" w:sz="2" w:space="0" w:color="5B9BD5"/>
            </w:tcBorders>
            <w:vAlign w:val="center"/>
          </w:tcPr>
          <w:p w14:paraId="14111D14"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Resultado</w:t>
            </w:r>
          </w:p>
        </w:tc>
      </w:tr>
      <w:tr w:rsidR="00653A61" w14:paraId="72514856" w14:textId="77777777">
        <w:trPr>
          <w:jc w:val="center"/>
        </w:trPr>
        <w:tc>
          <w:tcPr>
            <w:tcW w:w="4027" w:type="dxa"/>
            <w:tcBorders>
              <w:top w:val="double" w:sz="2" w:space="0" w:color="5B9BD5"/>
              <w:left w:val="double" w:sz="2" w:space="0" w:color="5B9BD5"/>
              <w:bottom w:val="double" w:sz="2" w:space="0" w:color="5B9BD5"/>
              <w:right w:val="double" w:sz="2" w:space="0" w:color="5B9BD5"/>
            </w:tcBorders>
            <w:vAlign w:val="center"/>
          </w:tcPr>
          <w:p w14:paraId="4DEA999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Medida KMO</w:t>
            </w:r>
          </w:p>
        </w:tc>
        <w:tc>
          <w:tcPr>
            <w:tcW w:w="1268" w:type="dxa"/>
            <w:tcBorders>
              <w:top w:val="double" w:sz="2" w:space="0" w:color="5B9BD5"/>
              <w:left w:val="double" w:sz="2" w:space="0" w:color="5B9BD5"/>
              <w:bottom w:val="double" w:sz="2" w:space="0" w:color="5B9BD5"/>
              <w:right w:val="double" w:sz="2" w:space="0" w:color="5B9BD5"/>
            </w:tcBorders>
            <w:vAlign w:val="center"/>
          </w:tcPr>
          <w:p w14:paraId="3C145017"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0,967</w:t>
            </w:r>
          </w:p>
        </w:tc>
      </w:tr>
      <w:tr w:rsidR="00653A61" w14:paraId="0D04F2B8" w14:textId="77777777">
        <w:trPr>
          <w:jc w:val="center"/>
        </w:trPr>
        <w:tc>
          <w:tcPr>
            <w:tcW w:w="4027" w:type="dxa"/>
            <w:tcBorders>
              <w:top w:val="double" w:sz="2" w:space="0" w:color="5B9BD5"/>
              <w:left w:val="double" w:sz="2" w:space="0" w:color="5B9BD5"/>
              <w:bottom w:val="double" w:sz="2" w:space="0" w:color="5B9BD5"/>
              <w:right w:val="double" w:sz="2" w:space="0" w:color="5B9BD5"/>
            </w:tcBorders>
            <w:vAlign w:val="center"/>
          </w:tcPr>
          <w:p w14:paraId="3350FE1C"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Chi-cuadrado aproximado de Bartlett</w:t>
            </w:r>
          </w:p>
        </w:tc>
        <w:tc>
          <w:tcPr>
            <w:tcW w:w="1268" w:type="dxa"/>
            <w:tcBorders>
              <w:top w:val="double" w:sz="2" w:space="0" w:color="5B9BD5"/>
              <w:left w:val="double" w:sz="2" w:space="0" w:color="5B9BD5"/>
              <w:bottom w:val="double" w:sz="2" w:space="0" w:color="5B9BD5"/>
              <w:right w:val="double" w:sz="2" w:space="0" w:color="5B9BD5"/>
            </w:tcBorders>
            <w:vAlign w:val="center"/>
          </w:tcPr>
          <w:p w14:paraId="45313D2E"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6355,758</w:t>
            </w:r>
          </w:p>
        </w:tc>
      </w:tr>
      <w:tr w:rsidR="00653A61" w14:paraId="4CCD9791" w14:textId="77777777">
        <w:trPr>
          <w:jc w:val="center"/>
        </w:trPr>
        <w:tc>
          <w:tcPr>
            <w:tcW w:w="4027" w:type="dxa"/>
            <w:tcBorders>
              <w:top w:val="double" w:sz="2" w:space="0" w:color="5B9BD5"/>
              <w:left w:val="double" w:sz="2" w:space="0" w:color="5B9BD5"/>
              <w:bottom w:val="double" w:sz="2" w:space="0" w:color="5B9BD5"/>
              <w:right w:val="double" w:sz="2" w:space="0" w:color="5B9BD5"/>
            </w:tcBorders>
            <w:vAlign w:val="center"/>
          </w:tcPr>
          <w:p w14:paraId="11E02AA1" w14:textId="77777777" w:rsidR="00653A61" w:rsidRDefault="00563720">
            <w:pPr>
              <w:spacing w:after="0" w:line="240" w:lineRule="auto"/>
              <w:rPr>
                <w:rFonts w:ascii="Arial" w:eastAsia="Times New Roman" w:hAnsi="Arial" w:cs="Arial"/>
                <w:color w:val="2E74B5" w:themeColor="accent1" w:themeShade="BF"/>
                <w:sz w:val="24"/>
                <w:szCs w:val="24"/>
                <w:lang w:eastAsia="es-CO"/>
              </w:rPr>
            </w:pPr>
            <w:proofErr w:type="spellStart"/>
            <w:r>
              <w:rPr>
                <w:rFonts w:ascii="Arial" w:eastAsia="Times New Roman" w:hAnsi="Arial" w:cs="Arial"/>
                <w:color w:val="2E74B5" w:themeColor="accent1" w:themeShade="BF"/>
                <w:sz w:val="24"/>
                <w:szCs w:val="24"/>
                <w:lang w:eastAsia="es-CO"/>
              </w:rPr>
              <w:t>gl</w:t>
            </w:r>
            <w:proofErr w:type="spellEnd"/>
          </w:p>
        </w:tc>
        <w:tc>
          <w:tcPr>
            <w:tcW w:w="1268" w:type="dxa"/>
            <w:tcBorders>
              <w:top w:val="double" w:sz="2" w:space="0" w:color="5B9BD5"/>
              <w:left w:val="double" w:sz="2" w:space="0" w:color="5B9BD5"/>
              <w:bottom w:val="double" w:sz="2" w:space="0" w:color="5B9BD5"/>
              <w:right w:val="double" w:sz="2" w:space="0" w:color="5B9BD5"/>
            </w:tcBorders>
            <w:vAlign w:val="center"/>
          </w:tcPr>
          <w:p w14:paraId="5FD0154A"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153</w:t>
            </w:r>
          </w:p>
        </w:tc>
      </w:tr>
      <w:tr w:rsidR="00653A61" w14:paraId="38C50C08" w14:textId="77777777">
        <w:trPr>
          <w:jc w:val="center"/>
        </w:trPr>
        <w:tc>
          <w:tcPr>
            <w:tcW w:w="4027" w:type="dxa"/>
            <w:tcBorders>
              <w:top w:val="double" w:sz="2" w:space="0" w:color="5B9BD5"/>
              <w:left w:val="double" w:sz="2" w:space="0" w:color="5B9BD5"/>
              <w:bottom w:val="double" w:sz="2" w:space="0" w:color="5B9BD5"/>
              <w:right w:val="double" w:sz="2" w:space="0" w:color="5B9BD5"/>
            </w:tcBorders>
            <w:vAlign w:val="center"/>
          </w:tcPr>
          <w:p w14:paraId="063C6DCC"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Sig.</w:t>
            </w:r>
          </w:p>
        </w:tc>
        <w:tc>
          <w:tcPr>
            <w:tcW w:w="1268" w:type="dxa"/>
            <w:tcBorders>
              <w:top w:val="double" w:sz="2" w:space="0" w:color="5B9BD5"/>
              <w:left w:val="double" w:sz="2" w:space="0" w:color="5B9BD5"/>
              <w:bottom w:val="double" w:sz="2" w:space="0" w:color="5B9BD5"/>
              <w:right w:val="double" w:sz="2" w:space="0" w:color="5B9BD5"/>
            </w:tcBorders>
            <w:vAlign w:val="center"/>
          </w:tcPr>
          <w:p w14:paraId="574CCF99"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&lt; 0,001</w:t>
            </w:r>
          </w:p>
        </w:tc>
      </w:tr>
    </w:tbl>
    <w:p w14:paraId="7A6B5483" w14:textId="77777777" w:rsidR="00653A61" w:rsidRDefault="00653A61">
      <w:pPr>
        <w:jc w:val="both"/>
        <w:rPr>
          <w:rFonts w:ascii="Arial" w:hAnsi="Arial" w:cs="Arial"/>
          <w:color w:val="2E74B5" w:themeColor="accent1" w:themeShade="BF"/>
          <w:sz w:val="24"/>
          <w:szCs w:val="24"/>
        </w:rPr>
      </w:pPr>
    </w:p>
    <w:p w14:paraId="02961BFB"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lastRenderedPageBreak/>
        <w:t xml:space="preserve">Fuente: </w:t>
      </w:r>
      <w:r>
        <w:rPr>
          <w:rFonts w:ascii="Arial" w:hAnsi="Arial" w:cs="Arial"/>
          <w:color w:val="2E74B5" w:themeColor="accent1" w:themeShade="BF"/>
          <w:sz w:val="24"/>
          <w:szCs w:val="24"/>
        </w:rPr>
        <w:t>Elaboración propia a partir de resultados obtenidos en SPSS.</w:t>
      </w:r>
    </w:p>
    <w:p w14:paraId="53BC1F5C" w14:textId="77777777" w:rsidR="00653A61" w:rsidRDefault="00653A61">
      <w:pPr>
        <w:jc w:val="both"/>
        <w:rPr>
          <w:rFonts w:ascii="Arial" w:hAnsi="Arial" w:cs="Arial"/>
          <w:color w:val="2E74B5" w:themeColor="accent1" w:themeShade="BF"/>
          <w:sz w:val="24"/>
          <w:szCs w:val="24"/>
        </w:rPr>
      </w:pPr>
    </w:p>
    <w:p w14:paraId="730BE89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Previamente, se verificó la concordancia de los datos para este procedimiento mediante la prueba Kaiser Meyer Olkin (KMO) y la prueba de esfericidad de Bartlett. De acuerdo como se indica en la tabla 11, los resultados evidenciaron un índice KMO de 0,967, valor considerado excelente de acuerdo con los criterios establecidos en la literatura estadística. Asimismo, la prueba de Bartlett presentó un valor significativo (χ² = 6355,758; </w:t>
      </w:r>
      <w:proofErr w:type="spellStart"/>
      <w:r>
        <w:rPr>
          <w:rFonts w:ascii="Arial" w:hAnsi="Arial" w:cs="Arial"/>
          <w:color w:val="2E74B5" w:themeColor="accent1" w:themeShade="BF"/>
          <w:sz w:val="24"/>
          <w:szCs w:val="24"/>
        </w:rPr>
        <w:t>gl</w:t>
      </w:r>
      <w:proofErr w:type="spellEnd"/>
      <w:r>
        <w:rPr>
          <w:rFonts w:ascii="Arial" w:hAnsi="Arial" w:cs="Arial"/>
          <w:color w:val="2E74B5" w:themeColor="accent1" w:themeShade="BF"/>
          <w:sz w:val="24"/>
          <w:szCs w:val="24"/>
        </w:rPr>
        <w:t xml:space="preserve"> = 153; p &lt; 0,001), confirmando la existencia de correlaciones suficientes entre las variables para la aplicación del análisis factorial.</w:t>
      </w:r>
    </w:p>
    <w:p w14:paraId="0E38B027" w14:textId="77777777" w:rsidR="00DB7EDD" w:rsidRDefault="00DB7EDD">
      <w:pPr>
        <w:jc w:val="center"/>
        <w:rPr>
          <w:rFonts w:ascii="Arial" w:hAnsi="Arial" w:cs="Arial"/>
          <w:color w:val="2E74B5" w:themeColor="accent1" w:themeShade="BF"/>
          <w:sz w:val="24"/>
          <w:szCs w:val="24"/>
        </w:rPr>
      </w:pPr>
    </w:p>
    <w:p w14:paraId="2AE69D02" w14:textId="1E751F26"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Tabla 12: Varianza total explicada</w:t>
      </w:r>
    </w:p>
    <w:p w14:paraId="6C221962" w14:textId="77777777" w:rsidR="00653A61" w:rsidRDefault="00653A61">
      <w:pPr>
        <w:jc w:val="both"/>
        <w:rPr>
          <w:rFonts w:ascii="Arial" w:hAnsi="Arial" w:cs="Arial"/>
          <w:color w:val="2E74B5" w:themeColor="accent1" w:themeShade="BF"/>
          <w:sz w:val="24"/>
          <w:szCs w:val="24"/>
        </w:rPr>
      </w:pPr>
    </w:p>
    <w:tbl>
      <w:tblPr>
        <w:tblW w:w="6113" w:type="dxa"/>
        <w:jc w:val="center"/>
        <w:tblLayout w:type="fixed"/>
        <w:tblCellMar>
          <w:top w:w="15" w:type="dxa"/>
          <w:left w:w="15" w:type="dxa"/>
          <w:bottom w:w="15" w:type="dxa"/>
          <w:right w:w="15" w:type="dxa"/>
        </w:tblCellMar>
        <w:tblLook w:val="04A0" w:firstRow="1" w:lastRow="0" w:firstColumn="1" w:lastColumn="0" w:noHBand="0" w:noVBand="1"/>
      </w:tblPr>
      <w:tblGrid>
        <w:gridCol w:w="1572"/>
        <w:gridCol w:w="1211"/>
        <w:gridCol w:w="1678"/>
        <w:gridCol w:w="1652"/>
      </w:tblGrid>
      <w:tr w:rsidR="00653A61" w14:paraId="7820283B" w14:textId="77777777">
        <w:trPr>
          <w:tblHeader/>
          <w:jc w:val="center"/>
        </w:trPr>
        <w:tc>
          <w:tcPr>
            <w:tcW w:w="1572" w:type="dxa"/>
            <w:tcBorders>
              <w:top w:val="double" w:sz="2" w:space="0" w:color="5B9BD5"/>
              <w:left w:val="double" w:sz="2" w:space="0" w:color="5B9BD5"/>
              <w:bottom w:val="double" w:sz="2" w:space="0" w:color="5B9BD5"/>
              <w:right w:val="double" w:sz="2" w:space="0" w:color="5B9BD5"/>
            </w:tcBorders>
            <w:vAlign w:val="center"/>
          </w:tcPr>
          <w:p w14:paraId="7334C5A0"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Componente</w:t>
            </w:r>
          </w:p>
        </w:tc>
        <w:tc>
          <w:tcPr>
            <w:tcW w:w="1211" w:type="dxa"/>
            <w:tcBorders>
              <w:top w:val="double" w:sz="2" w:space="0" w:color="5B9BD5"/>
              <w:left w:val="double" w:sz="2" w:space="0" w:color="5B9BD5"/>
              <w:bottom w:val="double" w:sz="2" w:space="0" w:color="5B9BD5"/>
              <w:right w:val="double" w:sz="2" w:space="0" w:color="5B9BD5"/>
            </w:tcBorders>
            <w:vAlign w:val="center"/>
          </w:tcPr>
          <w:p w14:paraId="4A8E833C"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Autovalor</w:t>
            </w:r>
          </w:p>
        </w:tc>
        <w:tc>
          <w:tcPr>
            <w:tcW w:w="1678" w:type="dxa"/>
            <w:tcBorders>
              <w:top w:val="double" w:sz="2" w:space="0" w:color="5B9BD5"/>
              <w:left w:val="double" w:sz="2" w:space="0" w:color="5B9BD5"/>
              <w:bottom w:val="double" w:sz="2" w:space="0" w:color="5B9BD5"/>
              <w:right w:val="double" w:sz="2" w:space="0" w:color="5B9BD5"/>
            </w:tcBorders>
            <w:vAlign w:val="center"/>
          </w:tcPr>
          <w:p w14:paraId="584D753A"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 de varianza</w:t>
            </w:r>
          </w:p>
        </w:tc>
        <w:tc>
          <w:tcPr>
            <w:tcW w:w="1652" w:type="dxa"/>
            <w:tcBorders>
              <w:top w:val="double" w:sz="2" w:space="0" w:color="5B9BD5"/>
              <w:left w:val="double" w:sz="2" w:space="0" w:color="5B9BD5"/>
              <w:bottom w:val="double" w:sz="2" w:space="0" w:color="5B9BD5"/>
              <w:right w:val="double" w:sz="2" w:space="0" w:color="5B9BD5"/>
            </w:tcBorders>
            <w:vAlign w:val="center"/>
          </w:tcPr>
          <w:p w14:paraId="2E972982" w14:textId="77777777" w:rsidR="00653A61" w:rsidRDefault="00563720">
            <w:pPr>
              <w:spacing w:after="0" w:line="240" w:lineRule="auto"/>
              <w:jc w:val="center"/>
              <w:rPr>
                <w:rFonts w:ascii="Arial" w:eastAsia="Times New Roman" w:hAnsi="Arial" w:cs="Arial"/>
                <w:b/>
                <w:bCs/>
                <w:color w:val="2E74B5" w:themeColor="accent1" w:themeShade="BF"/>
                <w:sz w:val="24"/>
                <w:szCs w:val="24"/>
                <w:lang w:eastAsia="es-CO"/>
              </w:rPr>
            </w:pPr>
            <w:r>
              <w:rPr>
                <w:rFonts w:ascii="Arial" w:eastAsia="Times New Roman" w:hAnsi="Arial" w:cs="Arial"/>
                <w:b/>
                <w:bCs/>
                <w:color w:val="2E74B5" w:themeColor="accent1" w:themeShade="BF"/>
                <w:sz w:val="24"/>
                <w:szCs w:val="24"/>
                <w:lang w:eastAsia="es-CO"/>
              </w:rPr>
              <w:t>% acumulado</w:t>
            </w:r>
          </w:p>
        </w:tc>
      </w:tr>
      <w:tr w:rsidR="00653A61" w14:paraId="3751FF16" w14:textId="77777777">
        <w:trPr>
          <w:jc w:val="center"/>
        </w:trPr>
        <w:tc>
          <w:tcPr>
            <w:tcW w:w="1572" w:type="dxa"/>
            <w:tcBorders>
              <w:top w:val="double" w:sz="2" w:space="0" w:color="5B9BD5"/>
              <w:left w:val="double" w:sz="2" w:space="0" w:color="5B9BD5"/>
              <w:bottom w:val="double" w:sz="2" w:space="0" w:color="5B9BD5"/>
              <w:right w:val="double" w:sz="2" w:space="0" w:color="5B9BD5"/>
            </w:tcBorders>
            <w:vAlign w:val="center"/>
          </w:tcPr>
          <w:p w14:paraId="04B44EA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w:t>
            </w:r>
          </w:p>
        </w:tc>
        <w:tc>
          <w:tcPr>
            <w:tcW w:w="1211" w:type="dxa"/>
            <w:tcBorders>
              <w:top w:val="double" w:sz="2" w:space="0" w:color="5B9BD5"/>
              <w:left w:val="double" w:sz="2" w:space="0" w:color="5B9BD5"/>
              <w:bottom w:val="double" w:sz="2" w:space="0" w:color="5B9BD5"/>
              <w:right w:val="double" w:sz="2" w:space="0" w:color="5B9BD5"/>
            </w:tcBorders>
            <w:vAlign w:val="center"/>
          </w:tcPr>
          <w:p w14:paraId="14393F3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11,771</w:t>
            </w:r>
          </w:p>
        </w:tc>
        <w:tc>
          <w:tcPr>
            <w:tcW w:w="1678" w:type="dxa"/>
            <w:tcBorders>
              <w:top w:val="double" w:sz="2" w:space="0" w:color="5B9BD5"/>
              <w:left w:val="double" w:sz="2" w:space="0" w:color="5B9BD5"/>
              <w:bottom w:val="double" w:sz="2" w:space="0" w:color="5B9BD5"/>
              <w:right w:val="double" w:sz="2" w:space="0" w:color="5B9BD5"/>
            </w:tcBorders>
            <w:vAlign w:val="center"/>
          </w:tcPr>
          <w:p w14:paraId="733C15AC"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65,393</w:t>
            </w:r>
          </w:p>
        </w:tc>
        <w:tc>
          <w:tcPr>
            <w:tcW w:w="1652" w:type="dxa"/>
            <w:tcBorders>
              <w:top w:val="double" w:sz="2" w:space="0" w:color="5B9BD5"/>
              <w:left w:val="double" w:sz="2" w:space="0" w:color="5B9BD5"/>
              <w:bottom w:val="double" w:sz="2" w:space="0" w:color="5B9BD5"/>
              <w:right w:val="double" w:sz="2" w:space="0" w:color="5B9BD5"/>
            </w:tcBorders>
            <w:vAlign w:val="center"/>
          </w:tcPr>
          <w:p w14:paraId="631853C1"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65,393</w:t>
            </w:r>
          </w:p>
        </w:tc>
      </w:tr>
      <w:tr w:rsidR="00653A61" w14:paraId="30BAC241" w14:textId="77777777">
        <w:trPr>
          <w:jc w:val="center"/>
        </w:trPr>
        <w:tc>
          <w:tcPr>
            <w:tcW w:w="1572" w:type="dxa"/>
            <w:tcBorders>
              <w:top w:val="double" w:sz="2" w:space="0" w:color="5B9BD5"/>
              <w:left w:val="double" w:sz="2" w:space="0" w:color="5B9BD5"/>
              <w:bottom w:val="double" w:sz="2" w:space="0" w:color="5B9BD5"/>
              <w:right w:val="double" w:sz="2" w:space="0" w:color="5B9BD5"/>
            </w:tcBorders>
            <w:vAlign w:val="center"/>
          </w:tcPr>
          <w:p w14:paraId="5FB3BF04"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2</w:t>
            </w:r>
          </w:p>
        </w:tc>
        <w:tc>
          <w:tcPr>
            <w:tcW w:w="1211" w:type="dxa"/>
            <w:tcBorders>
              <w:top w:val="double" w:sz="2" w:space="0" w:color="5B9BD5"/>
              <w:left w:val="double" w:sz="2" w:space="0" w:color="5B9BD5"/>
              <w:bottom w:val="double" w:sz="2" w:space="0" w:color="5B9BD5"/>
              <w:right w:val="double" w:sz="2" w:space="0" w:color="5B9BD5"/>
            </w:tcBorders>
            <w:vAlign w:val="center"/>
          </w:tcPr>
          <w:p w14:paraId="0DB3D5F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1,112</w:t>
            </w:r>
          </w:p>
        </w:tc>
        <w:tc>
          <w:tcPr>
            <w:tcW w:w="1678" w:type="dxa"/>
            <w:tcBorders>
              <w:top w:val="double" w:sz="2" w:space="0" w:color="5B9BD5"/>
              <w:left w:val="double" w:sz="2" w:space="0" w:color="5B9BD5"/>
              <w:bottom w:val="double" w:sz="2" w:space="0" w:color="5B9BD5"/>
              <w:right w:val="double" w:sz="2" w:space="0" w:color="5B9BD5"/>
            </w:tcBorders>
            <w:vAlign w:val="center"/>
          </w:tcPr>
          <w:p w14:paraId="47254D6F"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6,179</w:t>
            </w:r>
          </w:p>
        </w:tc>
        <w:tc>
          <w:tcPr>
            <w:tcW w:w="1652" w:type="dxa"/>
            <w:tcBorders>
              <w:top w:val="double" w:sz="2" w:space="0" w:color="5B9BD5"/>
              <w:left w:val="double" w:sz="2" w:space="0" w:color="5B9BD5"/>
              <w:bottom w:val="double" w:sz="2" w:space="0" w:color="5B9BD5"/>
              <w:right w:val="double" w:sz="2" w:space="0" w:color="5B9BD5"/>
            </w:tcBorders>
            <w:vAlign w:val="center"/>
          </w:tcPr>
          <w:p w14:paraId="7D188532" w14:textId="77777777" w:rsidR="00653A61" w:rsidRDefault="00563720">
            <w:pPr>
              <w:spacing w:after="0" w:line="240" w:lineRule="auto"/>
              <w:rPr>
                <w:rFonts w:ascii="Arial" w:eastAsia="Times New Roman" w:hAnsi="Arial" w:cs="Arial"/>
                <w:color w:val="2E74B5" w:themeColor="accent1" w:themeShade="BF"/>
                <w:sz w:val="24"/>
                <w:szCs w:val="24"/>
                <w:lang w:eastAsia="es-CO"/>
              </w:rPr>
            </w:pPr>
            <w:r>
              <w:rPr>
                <w:rFonts w:ascii="Arial" w:eastAsia="Times New Roman" w:hAnsi="Arial" w:cs="Arial"/>
                <w:color w:val="2E74B5" w:themeColor="accent1" w:themeShade="BF"/>
                <w:sz w:val="24"/>
                <w:szCs w:val="24"/>
                <w:lang w:eastAsia="es-CO"/>
              </w:rPr>
              <w:t>71,572</w:t>
            </w:r>
          </w:p>
        </w:tc>
      </w:tr>
    </w:tbl>
    <w:p w14:paraId="07BB1175" w14:textId="77777777" w:rsidR="00653A61" w:rsidRDefault="00653A61">
      <w:pPr>
        <w:jc w:val="both"/>
        <w:rPr>
          <w:rFonts w:ascii="Arial" w:hAnsi="Arial" w:cs="Arial"/>
          <w:color w:val="2E74B5" w:themeColor="accent1" w:themeShade="BF"/>
          <w:sz w:val="24"/>
          <w:szCs w:val="24"/>
        </w:rPr>
      </w:pPr>
    </w:p>
    <w:p w14:paraId="2E9960D0"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 xml:space="preserve">Fuente: </w:t>
      </w:r>
      <w:r>
        <w:rPr>
          <w:rFonts w:ascii="Arial" w:hAnsi="Arial" w:cs="Arial"/>
          <w:color w:val="2E74B5" w:themeColor="accent1" w:themeShade="BF"/>
          <w:sz w:val="24"/>
          <w:szCs w:val="24"/>
        </w:rPr>
        <w:t>Elaboración propia a partir de resultados obtenidos en SPSS.</w:t>
      </w:r>
    </w:p>
    <w:p w14:paraId="4D23E4F4" w14:textId="77777777" w:rsidR="00653A61" w:rsidRDefault="00653A61">
      <w:pPr>
        <w:jc w:val="both"/>
        <w:rPr>
          <w:rFonts w:ascii="Arial" w:hAnsi="Arial" w:cs="Arial"/>
          <w:color w:val="2E74B5" w:themeColor="accent1" w:themeShade="BF"/>
          <w:sz w:val="24"/>
          <w:szCs w:val="24"/>
        </w:rPr>
      </w:pPr>
    </w:p>
    <w:p w14:paraId="751332D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Como se muestra en la tabla 12, el análisis factorial permitió identificar dos componentes principales con autovalores superiores a 1, los cuales se asocian conjuntamente el 71,572% de la varianza total acumulada. El primer componente explicó el 65,393% de la varianza, mientras que el segundo explicó el 6,179%.</w:t>
      </w:r>
    </w:p>
    <w:p w14:paraId="7C933A66" w14:textId="77777777" w:rsidR="00653A61" w:rsidRDefault="00653A61">
      <w:pPr>
        <w:jc w:val="both"/>
        <w:rPr>
          <w:rFonts w:ascii="Arial" w:hAnsi="Arial" w:cs="Arial"/>
          <w:color w:val="2E74B5" w:themeColor="accent1" w:themeShade="BF"/>
          <w:sz w:val="24"/>
          <w:szCs w:val="24"/>
        </w:rPr>
      </w:pPr>
    </w:p>
    <w:p w14:paraId="37344D7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Los resultados obtenidos muestran que, aunque teóricamente el instrumento fue diseñado a partir de cinco constructos diferenciados, el análisis factorial exploratorio evidenció una agrupación en dos componentes principales que se asocian con el 71,57% de la varianza total. Empíricamente los ítems tendieron a agruparse en dos grandes componentes factoriales. </w:t>
      </w:r>
    </w:p>
    <w:p w14:paraId="6C8CDC84" w14:textId="77777777" w:rsidR="00653A61" w:rsidRDefault="00653A61">
      <w:pPr>
        <w:jc w:val="both"/>
        <w:rPr>
          <w:rFonts w:ascii="Arial" w:hAnsi="Arial" w:cs="Arial"/>
          <w:color w:val="2E74B5" w:themeColor="accent1" w:themeShade="BF"/>
          <w:sz w:val="24"/>
          <w:szCs w:val="24"/>
        </w:rPr>
      </w:pPr>
    </w:p>
    <w:p w14:paraId="72F4B1A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matriz de componentes rotados mostró asociaciones compartidas entre variables relacionadas con respuestas emocionales, experiencia digital y comportamiento de compra, mostrando una alta interrelación entre dichas dimensiones dentro de la experiencia digital de consumo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08B76F6D" w14:textId="77777777" w:rsidR="00653A61" w:rsidRPr="009D095F" w:rsidRDefault="00563720">
      <w:pPr>
        <w:jc w:val="both"/>
        <w:rPr>
          <w:rFonts w:ascii="Arial" w:hAnsi="Arial" w:cs="Arial"/>
          <w:color w:val="2E74B5" w:themeColor="accent1" w:themeShade="BF"/>
          <w:sz w:val="24"/>
          <w:szCs w:val="24"/>
        </w:rPr>
      </w:pPr>
      <w:r w:rsidRPr="009D095F">
        <w:rPr>
          <w:rFonts w:ascii="Arial" w:hAnsi="Arial"/>
          <w:color w:val="2E74B5" w:themeColor="accent1" w:themeShade="BF"/>
          <w:sz w:val="24"/>
        </w:rPr>
        <w:lastRenderedPageBreak/>
        <w:t>Complementariamente, y atendiendo a la recomendación de que la rotación ortogonal (</w:t>
      </w:r>
      <w:proofErr w:type="spellStart"/>
      <w:r w:rsidRPr="009D095F">
        <w:rPr>
          <w:rFonts w:ascii="Arial" w:hAnsi="Arial"/>
          <w:color w:val="2E74B5" w:themeColor="accent1" w:themeShade="BF"/>
          <w:sz w:val="24"/>
        </w:rPr>
        <w:t>Varimax</w:t>
      </w:r>
      <w:proofErr w:type="spellEnd"/>
      <w:r w:rsidRPr="009D095F">
        <w:rPr>
          <w:rFonts w:ascii="Arial" w:hAnsi="Arial"/>
          <w:color w:val="2E74B5" w:themeColor="accent1" w:themeShade="BF"/>
          <w:sz w:val="24"/>
        </w:rPr>
        <w:t>) presupone independencia entre los factores extraídos, se realizó un análisis complementario aplicando una rotación oblicua (</w:t>
      </w:r>
      <w:proofErr w:type="spellStart"/>
      <w:r w:rsidRPr="009D095F">
        <w:rPr>
          <w:rFonts w:ascii="Arial" w:hAnsi="Arial"/>
          <w:color w:val="2E74B5" w:themeColor="accent1" w:themeShade="BF"/>
          <w:sz w:val="24"/>
        </w:rPr>
        <w:t>Promax</w:t>
      </w:r>
      <w:proofErr w:type="spellEnd"/>
      <w:r w:rsidRPr="009D095F">
        <w:rPr>
          <w:rFonts w:ascii="Arial" w:hAnsi="Arial"/>
          <w:color w:val="2E74B5" w:themeColor="accent1" w:themeShade="BF"/>
          <w:sz w:val="24"/>
        </w:rPr>
        <w:t>), más adecuada cuando existe una expectativa teórica de relación entre los constructos evaluados.</w:t>
      </w:r>
    </w:p>
    <w:p w14:paraId="7C3421DB" w14:textId="77777777" w:rsidR="00E82335" w:rsidRDefault="00E82335">
      <w:pPr>
        <w:jc w:val="both"/>
        <w:rPr>
          <w:rFonts w:ascii="Arial" w:hAnsi="Arial"/>
          <w:color w:val="2E74B5" w:themeColor="accent1" w:themeShade="BF"/>
          <w:sz w:val="24"/>
        </w:rPr>
      </w:pPr>
    </w:p>
    <w:p w14:paraId="003A4C0B" w14:textId="7948E2DD" w:rsidR="00653A61" w:rsidRPr="009D095F" w:rsidRDefault="00563720">
      <w:pPr>
        <w:jc w:val="both"/>
        <w:rPr>
          <w:rFonts w:ascii="Arial" w:hAnsi="Arial" w:cs="Arial"/>
          <w:color w:val="2E74B5" w:themeColor="accent1" w:themeShade="BF"/>
          <w:sz w:val="24"/>
          <w:szCs w:val="24"/>
        </w:rPr>
      </w:pPr>
      <w:r w:rsidRPr="009D095F">
        <w:rPr>
          <w:rFonts w:ascii="Arial" w:hAnsi="Arial"/>
          <w:color w:val="2E74B5" w:themeColor="accent1" w:themeShade="BF"/>
          <w:sz w:val="24"/>
        </w:rPr>
        <w:t>Los resultados de la rotación oblicua evidenciaron una correlación entre los dos componentes de φ = 0,771, valor que confirma empíricamente que los factores no son independientes entre sí. Este hallazgo respalda la decisión de emplear una rotación oblicua como complemento metodológico y refuerza, desde la evidencia estadística, el planteamiento teórico de una alta interrelación entre las dimensiones emocionales, experienciales y conductuales del estudio.</w:t>
      </w:r>
    </w:p>
    <w:p w14:paraId="4A0AEEAA" w14:textId="77777777" w:rsidR="009D095F" w:rsidRDefault="009D095F">
      <w:pPr>
        <w:jc w:val="both"/>
        <w:rPr>
          <w:rFonts w:ascii="Arial" w:hAnsi="Arial"/>
          <w:b/>
          <w:sz w:val="24"/>
        </w:rPr>
      </w:pPr>
    </w:p>
    <w:p w14:paraId="5783F240" w14:textId="0E5E12FB" w:rsidR="00653A61" w:rsidRPr="009D095F" w:rsidRDefault="00563720">
      <w:pPr>
        <w:jc w:val="both"/>
        <w:rPr>
          <w:rFonts w:ascii="Arial" w:hAnsi="Arial" w:cs="Arial"/>
          <w:color w:val="2E74B5" w:themeColor="accent1" w:themeShade="BF"/>
          <w:sz w:val="24"/>
          <w:szCs w:val="24"/>
        </w:rPr>
      </w:pPr>
      <w:r w:rsidRPr="009D095F">
        <w:rPr>
          <w:rFonts w:ascii="Arial" w:hAnsi="Arial"/>
          <w:b/>
          <w:color w:val="2E74B5" w:themeColor="accent1" w:themeShade="BF"/>
          <w:sz w:val="24"/>
        </w:rPr>
        <w:t>3.6 Análisis de relación entre los constructos del estudio</w:t>
      </w:r>
    </w:p>
    <w:p w14:paraId="5C8B7144" w14:textId="77777777" w:rsidR="009D095F" w:rsidRDefault="009D095F">
      <w:pPr>
        <w:jc w:val="both"/>
        <w:rPr>
          <w:rFonts w:ascii="Arial" w:hAnsi="Arial"/>
          <w:color w:val="2E74B5" w:themeColor="accent1" w:themeShade="BF"/>
          <w:sz w:val="24"/>
        </w:rPr>
      </w:pPr>
    </w:p>
    <w:p w14:paraId="7BF15A30" w14:textId="591A2F0A" w:rsidR="00653A61" w:rsidRPr="009D095F" w:rsidRDefault="00563720">
      <w:pPr>
        <w:jc w:val="both"/>
        <w:rPr>
          <w:rFonts w:ascii="Arial" w:hAnsi="Arial" w:cs="Arial"/>
          <w:color w:val="2E74B5" w:themeColor="accent1" w:themeShade="BF"/>
          <w:sz w:val="24"/>
          <w:szCs w:val="24"/>
        </w:rPr>
      </w:pPr>
      <w:r w:rsidRPr="009D095F">
        <w:rPr>
          <w:rFonts w:ascii="Arial" w:hAnsi="Arial"/>
          <w:color w:val="2E74B5" w:themeColor="accent1" w:themeShade="BF"/>
          <w:sz w:val="24"/>
        </w:rPr>
        <w:t>Con el propósito de responder directamente al objetivo de analizar la relación entre las respuestas emocionales, el comportamiento de compra y la preferencia por marcas locales, se calcularon puntuaciones compuestas para cada una de las tres variables y se estimaron dos modelos de regresión lineal.</w:t>
      </w:r>
    </w:p>
    <w:p w14:paraId="7050715F" w14:textId="77777777" w:rsidR="009D095F" w:rsidRDefault="009D095F">
      <w:pPr>
        <w:jc w:val="both"/>
        <w:rPr>
          <w:rFonts w:ascii="Arial" w:hAnsi="Arial"/>
          <w:color w:val="2E74B5" w:themeColor="accent1" w:themeShade="BF"/>
          <w:sz w:val="24"/>
        </w:rPr>
      </w:pPr>
    </w:p>
    <w:p w14:paraId="751DE2F6" w14:textId="2072D48A" w:rsidR="00653A61" w:rsidRPr="009D095F" w:rsidRDefault="00563720">
      <w:pPr>
        <w:jc w:val="both"/>
        <w:rPr>
          <w:rFonts w:ascii="Arial" w:hAnsi="Arial" w:cs="Arial"/>
          <w:color w:val="2E74B5" w:themeColor="accent1" w:themeShade="BF"/>
          <w:sz w:val="24"/>
          <w:szCs w:val="24"/>
        </w:rPr>
      </w:pPr>
      <w:r w:rsidRPr="009D095F">
        <w:rPr>
          <w:rFonts w:ascii="Arial" w:hAnsi="Arial"/>
          <w:color w:val="2E74B5" w:themeColor="accent1" w:themeShade="BF"/>
          <w:sz w:val="24"/>
        </w:rPr>
        <w:t>En el primer modelo, el comportamiento de compra fue explicado a partir de las respuestas emocionales vinculadas a la experiencia digital (β = 0,867; p &lt; 0,001), con un coeficiente de determinación R² = 0,752, lo que indica que las respuestas emocionales explican el 75,2% de la varianza del comportamiento de compra.</w:t>
      </w:r>
    </w:p>
    <w:p w14:paraId="4B4385E1" w14:textId="77777777" w:rsidR="009D095F" w:rsidRDefault="009D095F">
      <w:pPr>
        <w:jc w:val="both"/>
        <w:rPr>
          <w:rFonts w:ascii="Arial" w:hAnsi="Arial"/>
          <w:color w:val="2E74B5" w:themeColor="accent1" w:themeShade="BF"/>
          <w:sz w:val="24"/>
        </w:rPr>
      </w:pPr>
    </w:p>
    <w:p w14:paraId="1698FD91" w14:textId="6C85275A" w:rsidR="00653A61" w:rsidRPr="009D095F" w:rsidRDefault="00563720">
      <w:pPr>
        <w:jc w:val="both"/>
        <w:rPr>
          <w:rFonts w:ascii="Arial" w:hAnsi="Arial" w:cs="Arial"/>
          <w:color w:val="2E74B5" w:themeColor="accent1" w:themeShade="BF"/>
          <w:sz w:val="24"/>
          <w:szCs w:val="24"/>
        </w:rPr>
      </w:pPr>
      <w:r w:rsidRPr="009D095F">
        <w:rPr>
          <w:rFonts w:ascii="Arial" w:hAnsi="Arial"/>
          <w:color w:val="2E74B5" w:themeColor="accent1" w:themeShade="BF"/>
          <w:sz w:val="24"/>
        </w:rPr>
        <w:t xml:space="preserve">En el segundo modelo, la preferencia por plataformas de </w:t>
      </w:r>
      <w:proofErr w:type="spellStart"/>
      <w:r w:rsidRPr="009D095F">
        <w:rPr>
          <w:rFonts w:ascii="Arial" w:hAnsi="Arial"/>
          <w:color w:val="2E74B5" w:themeColor="accent1" w:themeShade="BF"/>
          <w:sz w:val="24"/>
        </w:rPr>
        <w:t>fast</w:t>
      </w:r>
      <w:proofErr w:type="spellEnd"/>
      <w:r w:rsidRPr="009D095F">
        <w:rPr>
          <w:rFonts w:ascii="Arial" w:hAnsi="Arial"/>
          <w:color w:val="2E74B5" w:themeColor="accent1" w:themeShade="BF"/>
          <w:sz w:val="24"/>
        </w:rPr>
        <w:t xml:space="preserve"> </w:t>
      </w:r>
      <w:proofErr w:type="spellStart"/>
      <w:r w:rsidRPr="009D095F">
        <w:rPr>
          <w:rFonts w:ascii="Arial" w:hAnsi="Arial"/>
          <w:color w:val="2E74B5" w:themeColor="accent1" w:themeShade="BF"/>
          <w:sz w:val="24"/>
        </w:rPr>
        <w:t>fashion</w:t>
      </w:r>
      <w:proofErr w:type="spellEnd"/>
      <w:r w:rsidRPr="009D095F">
        <w:rPr>
          <w:rFonts w:ascii="Arial" w:hAnsi="Arial"/>
          <w:color w:val="2E74B5" w:themeColor="accent1" w:themeShade="BF"/>
          <w:sz w:val="24"/>
        </w:rPr>
        <w:t xml:space="preserve"> frente a marcas locales fue explicada a partir de las respuestas emocionales y el comportamiento de compra de manera conjunta (R² = 0,691). El comportamiento de compra mostró un efecto directo, positivo y significativo (β = 0,849; p &lt; 0,001), mientras que el efecto directo de las respuestas emocionales dejó de ser significativo al controlar por el comportamiento de compra (β = -0,020; p = 0,724).</w:t>
      </w:r>
    </w:p>
    <w:p w14:paraId="12A543F9" w14:textId="77777777" w:rsidR="009D095F" w:rsidRDefault="009D095F">
      <w:pPr>
        <w:jc w:val="both"/>
        <w:rPr>
          <w:rFonts w:ascii="Arial" w:hAnsi="Arial"/>
          <w:color w:val="2E74B5" w:themeColor="accent1" w:themeShade="BF"/>
          <w:sz w:val="24"/>
        </w:rPr>
      </w:pPr>
    </w:p>
    <w:p w14:paraId="1A2921E5" w14:textId="77777777" w:rsidR="00DA21A8" w:rsidRDefault="00563720">
      <w:pPr>
        <w:jc w:val="both"/>
        <w:rPr>
          <w:rFonts w:ascii="Arial" w:hAnsi="Arial" w:cs="Arial"/>
          <w:color w:val="2E74B5" w:themeColor="accent1" w:themeShade="BF"/>
          <w:sz w:val="24"/>
          <w:szCs w:val="24"/>
        </w:rPr>
      </w:pPr>
      <w:r w:rsidRPr="009D095F">
        <w:rPr>
          <w:rFonts w:ascii="Arial" w:hAnsi="Arial"/>
          <w:color w:val="2E74B5" w:themeColor="accent1" w:themeShade="BF"/>
          <w:sz w:val="24"/>
        </w:rPr>
        <w:t xml:space="preserve">Este patrón de resultados es consistente con una relación de mediación: las respuestas emocionales impulsan el comportamiento de compra, y es este último el que se relaciona directamente con la menor preferencia por marcas locales de </w:t>
      </w:r>
      <w:r w:rsidRPr="009D095F">
        <w:rPr>
          <w:rFonts w:ascii="Arial" w:hAnsi="Arial"/>
          <w:color w:val="2E74B5" w:themeColor="accent1" w:themeShade="BF"/>
          <w:sz w:val="24"/>
        </w:rPr>
        <w:lastRenderedPageBreak/>
        <w:t>moda, en línea con el modelo estímulo-organismo-respuesta (SOR) que sustenta teóricamente la investigación.</w:t>
      </w:r>
    </w:p>
    <w:p w14:paraId="67BE24FB" w14:textId="77777777" w:rsidR="00E82335" w:rsidRDefault="00E82335">
      <w:pPr>
        <w:jc w:val="both"/>
        <w:rPr>
          <w:rFonts w:ascii="Arial" w:hAnsi="Arial" w:cs="Arial"/>
          <w:b/>
          <w:bCs/>
          <w:color w:val="2E74B5" w:themeColor="accent1" w:themeShade="BF"/>
          <w:sz w:val="24"/>
          <w:szCs w:val="24"/>
        </w:rPr>
      </w:pPr>
    </w:p>
    <w:p w14:paraId="3BC1A1B4" w14:textId="7703CC36" w:rsidR="00653A61" w:rsidRPr="00DA21A8"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4. DISCUSIÓN Y CONCLUSIONES</w:t>
      </w:r>
    </w:p>
    <w:p w14:paraId="0E655D58" w14:textId="77777777" w:rsidR="00653A61" w:rsidRDefault="00653A61">
      <w:pPr>
        <w:jc w:val="both"/>
        <w:rPr>
          <w:rFonts w:ascii="Arial" w:hAnsi="Arial" w:cs="Arial"/>
          <w:b/>
          <w:bCs/>
          <w:color w:val="2E74B5" w:themeColor="accent1" w:themeShade="BF"/>
          <w:sz w:val="24"/>
          <w:szCs w:val="24"/>
        </w:rPr>
      </w:pPr>
    </w:p>
    <w:p w14:paraId="61BAC27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Los resultados obtenidos en la presente investigación evidencian asociaciones relevantes entre las respuestas emocionales vinculadas a la experiencia digital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el comportamiento de compra de los jóvenes bogotanos. A partir de los análisis descriptivos realizados, se identificaron niveles moderadamente altos en las dimensiones relacionadas con experiencia emocional digital, activación emocional y comportamiento de compra, lo que permite observar que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podrían estar relacionadas con experiencias emocionalmente positivas y estimulantes para los consumidores jóvenes.</w:t>
      </w:r>
    </w:p>
    <w:p w14:paraId="54C37D10" w14:textId="77777777" w:rsidR="00653A61" w:rsidRDefault="00653A61">
      <w:pPr>
        <w:jc w:val="both"/>
        <w:rPr>
          <w:rFonts w:ascii="Arial" w:hAnsi="Arial" w:cs="Arial"/>
          <w:color w:val="2E74B5" w:themeColor="accent1" w:themeShade="BF"/>
          <w:sz w:val="24"/>
          <w:szCs w:val="24"/>
        </w:rPr>
      </w:pPr>
    </w:p>
    <w:p w14:paraId="6AA1B83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Estos resultados son consistentes con los planteamientos desarrollados en la literatura revisada sobre marketing emocional y comportamiento del consumidor digital. Autores como (Achar et al. 2016) sostienen que las estrategias de marketing emocional permiten fortalecer el vínculo afectivo entre consumidores y marcas mediante la generación de estímulos emocionales que favorecen procesos de identificación, afinidad y permanencia. En este sentido, los hallazgos obtenidos evidencian que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analizadas logran construir experiencias digitales que van más allá de la simple adquisición de productos, integrando elementos emocionales y experienciales dentro del proceso de consumo.</w:t>
      </w:r>
    </w:p>
    <w:p w14:paraId="5925C570" w14:textId="77777777" w:rsidR="00653A61" w:rsidRDefault="00653A61">
      <w:pPr>
        <w:jc w:val="both"/>
        <w:rPr>
          <w:rFonts w:ascii="Arial" w:hAnsi="Arial" w:cs="Arial"/>
          <w:color w:val="2E74B5" w:themeColor="accent1" w:themeShade="BF"/>
          <w:sz w:val="24"/>
          <w:szCs w:val="24"/>
        </w:rPr>
      </w:pPr>
    </w:p>
    <w:p w14:paraId="19144C4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 igual manera, los resultados coinciden con los planteamientos de (Valverde et al. 2023), quienes señalan que los consumidores jóvenes, especialmente pertenecientes a la Generación Z, presentan una alta afinidad hacia experiencias digitales caracterizadas por dinamismo, inmediatez, personalización y estímulos visuales constantes. Esto se relaciona directamente con las dinámicas en plataformas digitales, las cuales utilizan interfaces altamente interactivas, recomendaciones personalizadas, promociones constantes y mecanismos de navegación orientados a mantener la atención del usuario dentro de la plataforma.</w:t>
      </w:r>
    </w:p>
    <w:p w14:paraId="3ABE290A" w14:textId="77777777" w:rsidR="00653A61" w:rsidRDefault="00653A61">
      <w:pPr>
        <w:jc w:val="both"/>
        <w:rPr>
          <w:rFonts w:ascii="Arial" w:hAnsi="Arial" w:cs="Arial"/>
          <w:color w:val="2E74B5" w:themeColor="accent1" w:themeShade="BF"/>
          <w:sz w:val="24"/>
          <w:szCs w:val="24"/>
        </w:rPr>
      </w:pPr>
    </w:p>
    <w:p w14:paraId="2C392CC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este contexto, las medias relativamente altas observadas en las variables asociadas a experiencia emocional digital y comportamiento de compra sugieren </w:t>
      </w:r>
      <w:r>
        <w:rPr>
          <w:rFonts w:ascii="Arial" w:hAnsi="Arial" w:cs="Arial"/>
          <w:color w:val="2E74B5" w:themeColor="accent1" w:themeShade="BF"/>
          <w:sz w:val="24"/>
          <w:szCs w:val="24"/>
        </w:rPr>
        <w:lastRenderedPageBreak/>
        <w:t>que los participantes experimentan sensaciones positivas durante la interacción con este tipo de plataformas, aspecto que podría estar relacionado con una mayor afinidad hacia el consumo y la recompra. Estos resultados son coherentes con los planteamientos de (Kotler y Keller 2016), los cuales afirman que las emociones desempeñan un papel determinante en las decisiones de compra contemporáneas, especialmente en entornos digitales donde la interacción entre consumidor y marca ocurre de forma constante e inmediata.</w:t>
      </w:r>
    </w:p>
    <w:p w14:paraId="28781827" w14:textId="77777777" w:rsidR="00653A61" w:rsidRDefault="00653A61">
      <w:pPr>
        <w:jc w:val="both"/>
        <w:rPr>
          <w:rFonts w:ascii="Arial" w:hAnsi="Arial" w:cs="Arial"/>
          <w:color w:val="2E74B5" w:themeColor="accent1" w:themeShade="BF"/>
          <w:sz w:val="24"/>
          <w:szCs w:val="24"/>
        </w:rPr>
      </w:pPr>
    </w:p>
    <w:p w14:paraId="224350A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Asimismo, los hallazgos obtenidos permiten identificar que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no compiten únicamente desde variables funcionales como precio o variedad de productos, sino también desde la construcción de experiencias digitales emocionalmente atractivas para el consumidor joven. Este aspecto coincide con las aproximaciones de (</w:t>
      </w:r>
      <w:proofErr w:type="spellStart"/>
      <w:r>
        <w:rPr>
          <w:rFonts w:ascii="Arial" w:hAnsi="Arial" w:cs="Arial"/>
          <w:color w:val="2E74B5" w:themeColor="accent1" w:themeShade="BF"/>
          <w:sz w:val="24"/>
          <w:szCs w:val="24"/>
        </w:rPr>
        <w:t>Gobé</w:t>
      </w:r>
      <w:proofErr w:type="spellEnd"/>
      <w:r>
        <w:rPr>
          <w:rFonts w:ascii="Arial" w:hAnsi="Arial" w:cs="Arial"/>
          <w:color w:val="2E74B5" w:themeColor="accent1" w:themeShade="BF"/>
          <w:sz w:val="24"/>
          <w:szCs w:val="24"/>
        </w:rPr>
        <w:t xml:space="preserve"> 2005), quien plantea que las marcas contemporáneas buscan generar conexiones emocionales profundas capaces de influir en la percepción, preferencia y fidelización de los consumidores.</w:t>
      </w:r>
    </w:p>
    <w:p w14:paraId="0B7B0C1D" w14:textId="77777777" w:rsidR="00653A61" w:rsidRDefault="00653A61">
      <w:pPr>
        <w:jc w:val="both"/>
        <w:rPr>
          <w:rFonts w:ascii="Arial" w:hAnsi="Arial" w:cs="Arial"/>
          <w:color w:val="2E74B5" w:themeColor="accent1" w:themeShade="BF"/>
          <w:sz w:val="24"/>
          <w:szCs w:val="24"/>
        </w:rPr>
      </w:pPr>
    </w:p>
    <w:p w14:paraId="0A8C736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Uno de los hallazgos más relevantes de la investigación se relaciona con los resultados obtenidos en el análisis factorial exploratorio. Aunque el instrumento fue diseñado teóricamente a partir de cinco constructos diferenciados, el análisis estadístico permitió identificar dos componentes principales que se asocian con el 71,57% de la varianza total acumulada.</w:t>
      </w:r>
    </w:p>
    <w:p w14:paraId="4933F91B" w14:textId="77777777" w:rsidR="00653A61" w:rsidRDefault="00653A61">
      <w:pPr>
        <w:jc w:val="both"/>
        <w:rPr>
          <w:rFonts w:ascii="Arial" w:hAnsi="Arial" w:cs="Arial"/>
          <w:color w:val="2E74B5" w:themeColor="accent1" w:themeShade="BF"/>
          <w:sz w:val="24"/>
          <w:szCs w:val="24"/>
        </w:rPr>
      </w:pPr>
    </w:p>
    <w:p w14:paraId="69E84D9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Este resultado evidencia una importante interrelación entre las dimensiones emocionales, experienciales y conductuales asociadas al consumo digital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En este sentido, los participantes no parecen percibir las emociones, la experiencia digital y el comportamiento de compra como procesos completamente independientes, sino como elementos integrados dentro de una misma experiencia de consumo digital.</w:t>
      </w:r>
    </w:p>
    <w:p w14:paraId="0FF63A7C" w14:textId="77777777" w:rsidR="00653A61" w:rsidRDefault="00653A61">
      <w:pPr>
        <w:jc w:val="both"/>
        <w:rPr>
          <w:rFonts w:ascii="Arial" w:hAnsi="Arial" w:cs="Arial"/>
          <w:color w:val="2E74B5" w:themeColor="accent1" w:themeShade="BF"/>
          <w:sz w:val="24"/>
          <w:szCs w:val="24"/>
        </w:rPr>
      </w:pPr>
    </w:p>
    <w:p w14:paraId="742E4E3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Lo anterior puede interpretarse a la luz del modelo estímulo, organismo, respuesta (SOR) y del modelo PAD de (Mehrabian y Russell 1974), los cuales plantean que los estímulos presentes en el entorno influyen sobre las respuestas emocionales del individuo y posteriormente se relacionan con conductas de aproximación o rechazo. </w:t>
      </w:r>
    </w:p>
    <w:p w14:paraId="2F7C2D90" w14:textId="77777777" w:rsidR="00653A61" w:rsidRDefault="00653A61">
      <w:pPr>
        <w:jc w:val="both"/>
        <w:rPr>
          <w:rFonts w:ascii="Arial" w:hAnsi="Arial" w:cs="Arial"/>
          <w:color w:val="2E74B5" w:themeColor="accent1" w:themeShade="BF"/>
          <w:sz w:val="24"/>
          <w:szCs w:val="24"/>
        </w:rPr>
      </w:pPr>
    </w:p>
    <w:p w14:paraId="49ECB82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el ámbito de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los estímulos asociados a promociones, diseño visual, facilidad de navegación y recompensas inmediatas </w:t>
      </w:r>
      <w:r>
        <w:rPr>
          <w:rFonts w:ascii="Arial" w:hAnsi="Arial" w:cs="Arial"/>
          <w:color w:val="2E74B5" w:themeColor="accent1" w:themeShade="BF"/>
          <w:sz w:val="24"/>
          <w:szCs w:val="24"/>
        </w:rPr>
        <w:lastRenderedPageBreak/>
        <w:t>podrían generar respuestas emocionales que posteriormente se asocian con comportamientos de compra y permanencia dentro de la plataforma.</w:t>
      </w:r>
    </w:p>
    <w:p w14:paraId="19620EB5" w14:textId="77777777" w:rsidR="00653A61" w:rsidRDefault="00653A61">
      <w:pPr>
        <w:jc w:val="both"/>
        <w:rPr>
          <w:rFonts w:ascii="Arial" w:hAnsi="Arial" w:cs="Arial"/>
          <w:color w:val="2E74B5" w:themeColor="accent1" w:themeShade="BF"/>
          <w:sz w:val="24"/>
          <w:szCs w:val="24"/>
        </w:rPr>
      </w:pPr>
    </w:p>
    <w:p w14:paraId="61DAFB5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Del mismo modo, los resultados factoriales sugieren que las experiencias emocionales y comportamentales asociadas al consumo digital se presentan de manera altamente integrada dentro de la percepción de los consumidores jóvenes. Esto coincide con los planteamientos de (Tan, Y. 2024a), quien sostiene que las plataformas digitales contemporáneas buscan diseñar experiencias inmersivas en las que emociones, navegación y decisiones de compra se desarrollan simultáneamente.</w:t>
      </w:r>
    </w:p>
    <w:p w14:paraId="28E9EECF" w14:textId="77777777" w:rsidR="00653A61" w:rsidRDefault="00653A61">
      <w:pPr>
        <w:jc w:val="both"/>
        <w:rPr>
          <w:rFonts w:ascii="Arial" w:hAnsi="Arial" w:cs="Arial"/>
          <w:color w:val="2E74B5" w:themeColor="accent1" w:themeShade="BF"/>
          <w:sz w:val="24"/>
          <w:szCs w:val="24"/>
        </w:rPr>
      </w:pPr>
    </w:p>
    <w:p w14:paraId="317B54B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Otro hallazgo relevante está relacionado con los resultados obtenidos en la dimensión correspondiente a la preferencia por marcas locales de moda. Los resultados descriptivos mostraron medias comparativamente inferiores frente a las variables asociadas a experiencia digital y comportamiento de compra, lo que podría sugerir una menor inclinación de los participantes hacia marcas locales dentro de sus decisiones de consumo.</w:t>
      </w:r>
    </w:p>
    <w:p w14:paraId="636EB2D2" w14:textId="77777777" w:rsidR="00653A61" w:rsidRDefault="00653A61">
      <w:pPr>
        <w:jc w:val="both"/>
        <w:rPr>
          <w:rFonts w:ascii="Arial" w:hAnsi="Arial" w:cs="Arial"/>
          <w:color w:val="2E74B5" w:themeColor="accent1" w:themeShade="BF"/>
          <w:sz w:val="24"/>
          <w:szCs w:val="24"/>
        </w:rPr>
      </w:pPr>
    </w:p>
    <w:p w14:paraId="28CF0C2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Estos resultados son coherentes con la literatura revisada sobre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consumo digital juvenil. Diversos autores señalan que las plataformas globales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han logrado posicionarse entre los consumidores jóvenes debido a su capacidad para ofrecer experiencias digitales basadas en inmediatez, actualización constante de productos, personalización y estímulos emocionales continuos.</w:t>
      </w:r>
    </w:p>
    <w:p w14:paraId="2A1273FC" w14:textId="77777777" w:rsidR="00653A61" w:rsidRDefault="00653A61">
      <w:pPr>
        <w:jc w:val="both"/>
        <w:rPr>
          <w:rFonts w:ascii="Arial" w:hAnsi="Arial" w:cs="Arial"/>
          <w:color w:val="2E74B5" w:themeColor="accent1" w:themeShade="BF"/>
          <w:sz w:val="24"/>
          <w:szCs w:val="24"/>
        </w:rPr>
      </w:pPr>
    </w:p>
    <w:p w14:paraId="20F8646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este sentido, los hallazgos permiten evidenciar que las dinámicas digitales implementadas por plataformas como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y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podrían generar ventajas competitivas frente a las marcas locales de moda, particularmente en aspectos relacionados con la experiencia del usuario, la interacción digital y la capacidad de estimulación emocional.</w:t>
      </w:r>
    </w:p>
    <w:p w14:paraId="742FFBA2" w14:textId="77777777" w:rsidR="00653A61" w:rsidRDefault="00653A61">
      <w:pPr>
        <w:jc w:val="both"/>
        <w:rPr>
          <w:rFonts w:ascii="Arial" w:hAnsi="Arial" w:cs="Arial"/>
          <w:color w:val="2E74B5" w:themeColor="accent1" w:themeShade="BF"/>
          <w:sz w:val="24"/>
          <w:szCs w:val="24"/>
        </w:rPr>
      </w:pPr>
    </w:p>
    <w:p w14:paraId="6FD5759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Sin embargo, los resultados obtenidos no permiten establecer asociaciones de causalidad directa entre las variables analizadas, lo anterior debido </w:t>
      </w:r>
      <w:proofErr w:type="spellStart"/>
      <w:r>
        <w:rPr>
          <w:rFonts w:ascii="Arial" w:hAnsi="Arial" w:cs="Arial"/>
          <w:color w:val="2E74B5" w:themeColor="accent1" w:themeShade="BF"/>
          <w:sz w:val="24"/>
          <w:szCs w:val="24"/>
        </w:rPr>
        <w:t>a el</w:t>
      </w:r>
      <w:proofErr w:type="spellEnd"/>
      <w:r>
        <w:rPr>
          <w:rFonts w:ascii="Arial" w:hAnsi="Arial" w:cs="Arial"/>
          <w:color w:val="2E74B5" w:themeColor="accent1" w:themeShade="BF"/>
          <w:sz w:val="24"/>
          <w:szCs w:val="24"/>
        </w:rPr>
        <w:t xml:space="preserve"> alcance correlacional y el diseño no experimental del estudio. En consecuencia, los hallazgos deben ser interpretados como asociaciones identificadas dentro del contexto específico evaluado.</w:t>
      </w:r>
    </w:p>
    <w:p w14:paraId="6B0D899B" w14:textId="77777777" w:rsidR="00653A61" w:rsidRDefault="00653A61">
      <w:pPr>
        <w:jc w:val="both"/>
        <w:rPr>
          <w:rFonts w:ascii="Arial" w:hAnsi="Arial" w:cs="Arial"/>
          <w:color w:val="2E74B5" w:themeColor="accent1" w:themeShade="BF"/>
          <w:sz w:val="24"/>
          <w:szCs w:val="24"/>
        </w:rPr>
      </w:pPr>
    </w:p>
    <w:p w14:paraId="0164F87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A pesar de ello, los resultados sí permiten evidenciar tendencias consistentes con la literatura revisada respecto al papel que desempeñan las emociones y la experiencia digital dentro de las dinámicas contemporáneas de consumo juvenil en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32A9DFE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Finalmente, los resultados obtenidos refuerzan la importancia del marketing emocional dentro de las estrategias digitales contemporáneas, especialmente en mercados dirigidos a consumidores jóvenes altamente expuestos a estímulos visuales, tecnológicos y emocionales dentro de entornos digitales.</w:t>
      </w:r>
    </w:p>
    <w:p w14:paraId="39FE937E" w14:textId="77777777" w:rsidR="00653A61" w:rsidRDefault="00653A61">
      <w:pPr>
        <w:jc w:val="both"/>
        <w:rPr>
          <w:rFonts w:ascii="Arial" w:hAnsi="Arial" w:cs="Arial"/>
          <w:b/>
          <w:bCs/>
          <w:color w:val="2E74B5" w:themeColor="accent1" w:themeShade="BF"/>
          <w:sz w:val="24"/>
          <w:szCs w:val="24"/>
        </w:rPr>
      </w:pPr>
    </w:p>
    <w:p w14:paraId="766D154F"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4.1 Cumplimiento de objetivos y limitaciones</w:t>
      </w:r>
    </w:p>
    <w:p w14:paraId="51D779A0" w14:textId="77777777" w:rsidR="00653A61" w:rsidRDefault="00653A61">
      <w:pPr>
        <w:jc w:val="both"/>
        <w:rPr>
          <w:rFonts w:ascii="Arial" w:hAnsi="Arial" w:cs="Arial"/>
          <w:b/>
          <w:bCs/>
          <w:color w:val="2E74B5" w:themeColor="accent1" w:themeShade="BF"/>
          <w:sz w:val="24"/>
          <w:szCs w:val="24"/>
        </w:rPr>
      </w:pPr>
    </w:p>
    <w:p w14:paraId="5261C7C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presente investigación permitió dar cumplimiento al objetivo general orientado a analizar la relación entre las respuestas emocionales vinculadas a la experiencia digital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el comportamiento de compra de los jóvenes bogotanos y su efecto en la preferencia por marcas locales de moda.</w:t>
      </w:r>
    </w:p>
    <w:p w14:paraId="0C397F7A" w14:textId="77777777" w:rsidR="00653A61" w:rsidRDefault="00653A61">
      <w:pPr>
        <w:jc w:val="both"/>
        <w:rPr>
          <w:rFonts w:ascii="Arial" w:hAnsi="Arial" w:cs="Arial"/>
          <w:color w:val="2E74B5" w:themeColor="accent1" w:themeShade="BF"/>
          <w:sz w:val="24"/>
          <w:szCs w:val="24"/>
        </w:rPr>
      </w:pPr>
    </w:p>
    <w:p w14:paraId="14DC138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En relación con el primer objetivo específico, se logró caracterizar teóricamente los conceptos de marketing emocional,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juventud en Colombia mediante una revisión de literatura especializada. Este proceso permitió construir el marco conceptual de la investigación, identificar las principales variables de análisis y establecer relaciones teóricas entre las dimensiones emocionales, experienciales y conductuales asociadas al consumo digital.</w:t>
      </w:r>
    </w:p>
    <w:p w14:paraId="59E71D2E" w14:textId="77777777" w:rsidR="00653A61" w:rsidRDefault="00653A61">
      <w:pPr>
        <w:jc w:val="both"/>
        <w:rPr>
          <w:rFonts w:ascii="Arial" w:hAnsi="Arial" w:cs="Arial"/>
          <w:color w:val="2E74B5" w:themeColor="accent1" w:themeShade="BF"/>
          <w:sz w:val="24"/>
          <w:szCs w:val="24"/>
        </w:rPr>
      </w:pPr>
    </w:p>
    <w:p w14:paraId="12574B7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La revisión de la literatura permitió identificar cómo las estrategias de marketing emocional han adquirido una relevancia significativa dentro de los entornos digitales contemporáneos, particularmente en las plataformas dirigidas a consumidores jóvenes. Asimismo, favoreció la comprensión de las dinámicas propias del modelo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su relación con los hábitos de consumo digitales de la Generación Z.</w:t>
      </w:r>
    </w:p>
    <w:p w14:paraId="39F6372C" w14:textId="77777777" w:rsidR="00653A61" w:rsidRDefault="00653A61">
      <w:pPr>
        <w:jc w:val="both"/>
        <w:rPr>
          <w:rFonts w:ascii="Arial" w:hAnsi="Arial" w:cs="Arial"/>
          <w:color w:val="2E74B5" w:themeColor="accent1" w:themeShade="BF"/>
          <w:sz w:val="24"/>
          <w:szCs w:val="24"/>
        </w:rPr>
      </w:pPr>
    </w:p>
    <w:p w14:paraId="35AF55E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Respecto al segundo objetivo específico, consistente en el análisis de la relación entre respuestas emocionales vinculadas a la experiencia digital y el comportamiento de compra, los resultados descriptivos y factoriales permitieron identificar asociaciones relevantes entre estas dimensiones.</w:t>
      </w:r>
    </w:p>
    <w:p w14:paraId="227F13E6" w14:textId="77777777" w:rsidR="00653A61" w:rsidRDefault="00653A61">
      <w:pPr>
        <w:jc w:val="both"/>
        <w:rPr>
          <w:rFonts w:ascii="Arial" w:hAnsi="Arial" w:cs="Arial"/>
          <w:color w:val="2E74B5" w:themeColor="accent1" w:themeShade="BF"/>
          <w:sz w:val="24"/>
          <w:szCs w:val="24"/>
        </w:rPr>
      </w:pPr>
    </w:p>
    <w:p w14:paraId="002B330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Las medias relativamente altas observadas en las variables asociadas a la experiencia emocional digital, la activación emocional y el comportamiento de compra sugieren que los participantes experimentan respuestas emocionales positivas durante la interacción con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aspecto que se relaciona con una mayor afinidad hacia este tipo de consumo digital.</w:t>
      </w:r>
    </w:p>
    <w:p w14:paraId="68F39D0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 igual manera, el análisis factorial exploratorio evidenció una importante interrelación entre las dimensiones emocionales y conductuales evaluadas, lo que permite identificar que los consumidores jóvenes perciben la experiencia digital de compra como un proceso integrado donde las emociones, la navegación y el comportamiento de compra, los cuales se encuentran estrechamente vinculados.</w:t>
      </w:r>
    </w:p>
    <w:p w14:paraId="64DCBD57" w14:textId="77777777" w:rsidR="00653A61" w:rsidRDefault="00653A61">
      <w:pPr>
        <w:jc w:val="both"/>
        <w:rPr>
          <w:rFonts w:ascii="Arial" w:hAnsi="Arial" w:cs="Arial"/>
          <w:color w:val="2E74B5" w:themeColor="accent1" w:themeShade="BF"/>
          <w:sz w:val="24"/>
          <w:szCs w:val="24"/>
        </w:rPr>
      </w:pPr>
    </w:p>
    <w:p w14:paraId="035898D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cuanto al tercer objetivo específico, relacionado con el análisis de la relación entre comportamiento de compra y preferencia por marcas locales de moda, los resultados descriptivos mostraron puntuaciones inferiores en la variable asociada a preferencia por marcas locales frente a las dimensiones relacionadas con experiencia emocional digital y comportamiento de compra.</w:t>
      </w:r>
    </w:p>
    <w:p w14:paraId="78EB0DBE" w14:textId="77777777" w:rsidR="00653A61" w:rsidRDefault="00653A61">
      <w:pPr>
        <w:jc w:val="both"/>
        <w:rPr>
          <w:rFonts w:ascii="Arial" w:hAnsi="Arial" w:cs="Arial"/>
          <w:color w:val="2E74B5" w:themeColor="accent1" w:themeShade="BF"/>
          <w:sz w:val="24"/>
          <w:szCs w:val="24"/>
        </w:rPr>
      </w:pPr>
    </w:p>
    <w:p w14:paraId="6C7B3C5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Este resultado permite identificar una menor inclinación de los participantes hacia las marcas locales dentro de sus decisiones de consumo, aspecto que, podría estar relacionado con la capacidad de las plataformas globales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para construir experiencias digitales más dinámicas y emocionalmente estimulantes.</w:t>
      </w:r>
    </w:p>
    <w:p w14:paraId="4EC6BB6F" w14:textId="77777777" w:rsidR="00653A61" w:rsidRDefault="00653A61">
      <w:pPr>
        <w:jc w:val="both"/>
        <w:rPr>
          <w:rFonts w:ascii="Arial" w:hAnsi="Arial" w:cs="Arial"/>
          <w:color w:val="2E74B5" w:themeColor="accent1" w:themeShade="BF"/>
          <w:sz w:val="24"/>
          <w:szCs w:val="24"/>
        </w:rPr>
      </w:pPr>
    </w:p>
    <w:p w14:paraId="3911657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Finalmente, aunque el cuarto objetivo específico plantea recomendaciones estratégicas para el fortalecimiento de marcas locales de moda, este objetivo se desarrolla principalmente a partir de las implicaciones gerenciales derivadas de los resultados obtenidos y de la discusión desarrollada en el presente capítulo.</w:t>
      </w:r>
    </w:p>
    <w:p w14:paraId="6B6E85C2" w14:textId="77777777" w:rsidR="00653A61" w:rsidRDefault="00653A61">
      <w:pPr>
        <w:jc w:val="both"/>
        <w:rPr>
          <w:rFonts w:ascii="Arial" w:hAnsi="Arial" w:cs="Arial"/>
          <w:color w:val="2E74B5" w:themeColor="accent1" w:themeShade="BF"/>
          <w:sz w:val="24"/>
          <w:szCs w:val="24"/>
        </w:rPr>
      </w:pPr>
    </w:p>
    <w:p w14:paraId="0A0E432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lo que concierne a las limitaciones del estudio, es importante señalar que la investigación se desarrolló mediante una muestra por conveniencia, aspecto que limita la posibilidad de generalizar estadísticamente los resultados hacia la totalidad de la población joven bogotana.</w:t>
      </w:r>
    </w:p>
    <w:p w14:paraId="60335415" w14:textId="77777777" w:rsidR="00653A61" w:rsidRDefault="00653A61">
      <w:pPr>
        <w:jc w:val="both"/>
        <w:rPr>
          <w:rFonts w:ascii="Arial" w:hAnsi="Arial" w:cs="Arial"/>
          <w:color w:val="2E74B5" w:themeColor="accent1" w:themeShade="BF"/>
          <w:sz w:val="24"/>
          <w:szCs w:val="24"/>
        </w:rPr>
      </w:pPr>
    </w:p>
    <w:p w14:paraId="2C2DA1D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Asimismo, el carácter transeccional del estudio implica que la información se recolectó en un único momento temporal, lo que impide identificar cambios en el comportamiento de los consumidores a lo largo del tiempo.</w:t>
      </w:r>
    </w:p>
    <w:p w14:paraId="6DA58FE3" w14:textId="77777777" w:rsidR="00653A61" w:rsidRDefault="00653A61">
      <w:pPr>
        <w:jc w:val="both"/>
        <w:rPr>
          <w:rFonts w:ascii="Arial" w:hAnsi="Arial" w:cs="Arial"/>
          <w:color w:val="2E74B5" w:themeColor="accent1" w:themeShade="BF"/>
          <w:sz w:val="24"/>
          <w:szCs w:val="24"/>
        </w:rPr>
      </w:pPr>
    </w:p>
    <w:p w14:paraId="038DE3D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Otra limitación importante se relaciona con el alcance correlacional de la investigación. Si bien, los resultados permiten identificar asociaciones entre las variables analizadas, el diseño metodológico no permite establecer relaciones de causalidad directa entre las respuestas emocionales, el comportamiento de compra y la preferencia por marcas locales.</w:t>
      </w:r>
    </w:p>
    <w:p w14:paraId="75696F36" w14:textId="77777777" w:rsidR="00653A61" w:rsidRDefault="00653A61">
      <w:pPr>
        <w:jc w:val="both"/>
        <w:rPr>
          <w:rFonts w:ascii="Arial" w:hAnsi="Arial" w:cs="Arial"/>
          <w:color w:val="2E74B5" w:themeColor="accent1" w:themeShade="BF"/>
          <w:sz w:val="24"/>
          <w:szCs w:val="24"/>
        </w:rPr>
      </w:pPr>
    </w:p>
    <w:p w14:paraId="68DC63D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Adicionalmente, aunque el instrumento presentó adecuados niveles de fiabilidad y validez, el análisis factorial exploratorio mostró una agrupación de los ítems en dos componentes principales, pese a que teóricamente el instrumento fue diseñado a partir de cinco constructos diferenciados. Esto podría sugerir una alta interrelación conceptual entre las dimensiones evaluadas dentro del contexto específico de consumo digital analizado.</w:t>
      </w:r>
    </w:p>
    <w:p w14:paraId="69EF7823" w14:textId="77777777" w:rsidR="00653A61" w:rsidRDefault="00653A61">
      <w:pPr>
        <w:jc w:val="both"/>
        <w:rPr>
          <w:rFonts w:ascii="Arial" w:hAnsi="Arial" w:cs="Arial"/>
          <w:color w:val="2E74B5" w:themeColor="accent1" w:themeShade="BF"/>
          <w:sz w:val="24"/>
          <w:szCs w:val="24"/>
        </w:rPr>
      </w:pPr>
    </w:p>
    <w:p w14:paraId="22E0BDA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No obstante, a pesar de estas limitaciones, la metodología empleada permitió obtener evidencia empírica relevante para comprender las dinámicas emocionales y comportamentales asociadas al consumo digital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en jóvenes bogotanos.</w:t>
      </w:r>
    </w:p>
    <w:p w14:paraId="22D912A1" w14:textId="77777777" w:rsidR="00653A61" w:rsidRDefault="00653A61">
      <w:pPr>
        <w:jc w:val="both"/>
        <w:rPr>
          <w:rFonts w:ascii="Arial" w:hAnsi="Arial" w:cs="Arial"/>
          <w:color w:val="2E74B5" w:themeColor="accent1" w:themeShade="BF"/>
          <w:sz w:val="24"/>
          <w:szCs w:val="24"/>
        </w:rPr>
      </w:pPr>
    </w:p>
    <w:p w14:paraId="7CAC653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este sentido, el enfoque cuantitativo y el uso de las escalas validadas permitieron el desarrollo de un análisis estructurado y coherente con los objetivos planteados en la investigación.</w:t>
      </w:r>
    </w:p>
    <w:p w14:paraId="7CB471DB" w14:textId="77777777" w:rsidR="00653A61" w:rsidRDefault="00653A61">
      <w:pPr>
        <w:jc w:val="both"/>
        <w:rPr>
          <w:rFonts w:ascii="Arial" w:hAnsi="Arial" w:cs="Arial"/>
          <w:color w:val="2E74B5" w:themeColor="accent1" w:themeShade="BF"/>
          <w:sz w:val="24"/>
          <w:szCs w:val="24"/>
        </w:rPr>
      </w:pPr>
    </w:p>
    <w:p w14:paraId="3180CE47"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4.2 Conclusiones e implicaciones para el marketing</w:t>
      </w:r>
    </w:p>
    <w:p w14:paraId="35764D0A" w14:textId="77777777" w:rsidR="00653A61" w:rsidRDefault="00653A61">
      <w:pPr>
        <w:jc w:val="both"/>
        <w:rPr>
          <w:rFonts w:ascii="Arial" w:hAnsi="Arial" w:cs="Arial"/>
          <w:b/>
          <w:bCs/>
          <w:color w:val="2E74B5" w:themeColor="accent1" w:themeShade="BF"/>
          <w:sz w:val="24"/>
          <w:szCs w:val="24"/>
        </w:rPr>
      </w:pPr>
    </w:p>
    <w:p w14:paraId="16764AE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Los resultados obtenidos permiten concluir que las respuestas emocionales vinculadas a la experiencia digital constituyen un elemento relevante dentro del comportamiento de compra de los jóvenes consumidores en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53246AB1" w14:textId="77777777" w:rsidR="00653A61" w:rsidRDefault="00653A61">
      <w:pPr>
        <w:jc w:val="both"/>
        <w:rPr>
          <w:rFonts w:ascii="Arial" w:hAnsi="Arial" w:cs="Arial"/>
          <w:color w:val="2E74B5" w:themeColor="accent1" w:themeShade="BF"/>
          <w:sz w:val="24"/>
          <w:szCs w:val="24"/>
        </w:rPr>
      </w:pPr>
    </w:p>
    <w:p w14:paraId="371DDBE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Dentro del ámbito del marketing, los hallazgos refuerzan la importancia de las estrategias de marketing emocional como mecanismos orientados no únicamente a comunicar atributos funcionales de los productos, sino también a generar experiencias digitales capaces de producir estimulación emocional, afinidad y permanencia dentro de las plataformas digitales.</w:t>
      </w:r>
    </w:p>
    <w:p w14:paraId="0F8ABB7D" w14:textId="77777777" w:rsidR="00653A61" w:rsidRDefault="00653A61">
      <w:pPr>
        <w:jc w:val="both"/>
        <w:rPr>
          <w:rFonts w:ascii="Arial" w:hAnsi="Arial" w:cs="Arial"/>
          <w:color w:val="2E74B5" w:themeColor="accent1" w:themeShade="BF"/>
          <w:sz w:val="24"/>
          <w:szCs w:val="24"/>
        </w:rPr>
      </w:pPr>
    </w:p>
    <w:p w14:paraId="58475A3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La investigación permite concluir que las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logran construir entornos de consumo altamente relacionados con experiencias emocionales y estímulos digitales constantes, integrando elementos visuales, promocionales y experienciales dentro del proceso de interacción con el </w:t>
      </w:r>
      <w:proofErr w:type="spellStart"/>
      <w:r>
        <w:rPr>
          <w:rFonts w:ascii="Arial" w:hAnsi="Arial" w:cs="Arial"/>
          <w:color w:val="2E74B5" w:themeColor="accent1" w:themeShade="BF"/>
          <w:sz w:val="24"/>
          <w:szCs w:val="24"/>
        </w:rPr>
        <w:t>consumidor.Asimismo</w:t>
      </w:r>
      <w:proofErr w:type="spellEnd"/>
      <w:r>
        <w:rPr>
          <w:rFonts w:ascii="Arial" w:hAnsi="Arial" w:cs="Arial"/>
          <w:color w:val="2E74B5" w:themeColor="accent1" w:themeShade="BF"/>
          <w:sz w:val="24"/>
          <w:szCs w:val="24"/>
        </w:rPr>
        <w:t>, los resultados sugieren que los consumidores jóvenes perciben las emociones, la experiencia digital y el comportamiento de compra como elementos estrechamente vinculados dentro de una experiencia de consumo digital integrada.</w:t>
      </w:r>
    </w:p>
    <w:p w14:paraId="445CC579" w14:textId="77777777" w:rsidR="00653A61" w:rsidRDefault="00653A61">
      <w:pPr>
        <w:jc w:val="both"/>
        <w:rPr>
          <w:rFonts w:ascii="Arial" w:hAnsi="Arial" w:cs="Arial"/>
          <w:color w:val="2E74B5" w:themeColor="accent1" w:themeShade="BF"/>
          <w:sz w:val="24"/>
          <w:szCs w:val="24"/>
        </w:rPr>
      </w:pPr>
    </w:p>
    <w:p w14:paraId="3610967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Este hallazgo aporta evidencia relevante para comprender aún mejor el comportamiento del consumidor joven dentro de los contextos digitales contemporáneos, especialmente en los mercados latinoamericanos donde aún es limitada la investigación empírica acerca de marketing emocional y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35690F19" w14:textId="77777777" w:rsidR="00653A61" w:rsidRDefault="00653A61">
      <w:pPr>
        <w:jc w:val="both"/>
        <w:rPr>
          <w:rFonts w:ascii="Arial" w:hAnsi="Arial" w:cs="Arial"/>
          <w:color w:val="2E74B5" w:themeColor="accent1" w:themeShade="BF"/>
          <w:sz w:val="24"/>
          <w:szCs w:val="24"/>
        </w:rPr>
      </w:pPr>
    </w:p>
    <w:p w14:paraId="1A7510F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De igual manera, la investigación contribuye a ampliar la comprensión académica sobre la relación existente entre plataformas digitales, respuestas emocionales y dinámicas de consumo juvenil. Los resultados obtenidos también permiten identificar que el marketing emocional desempeña un papel relevante dentro de las estrategias digitales utilizadas por plataformas globales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favoreciendo procesos de identificación emocional y afinidad hacia este tipo de plataformas.</w:t>
      </w:r>
    </w:p>
    <w:p w14:paraId="1817C5BF" w14:textId="77777777" w:rsidR="00653A61" w:rsidRDefault="00653A61">
      <w:pPr>
        <w:jc w:val="both"/>
        <w:rPr>
          <w:rFonts w:ascii="Arial" w:hAnsi="Arial" w:cs="Arial"/>
          <w:color w:val="2E74B5" w:themeColor="accent1" w:themeShade="BF"/>
          <w:sz w:val="24"/>
          <w:szCs w:val="24"/>
        </w:rPr>
      </w:pPr>
    </w:p>
    <w:p w14:paraId="6309DBD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este sentido, la investigación aporta evidencia sobre la importancia que adquieren las experiencias digitales dentro de las dinámicas contemporáneas de consumo, especialmente entre los consumidores jóvenes, quienes están altamente familiarizados con entornos digitales.</w:t>
      </w:r>
    </w:p>
    <w:p w14:paraId="0C43D4CC" w14:textId="77777777" w:rsidR="00653A61" w:rsidRDefault="00653A61">
      <w:pPr>
        <w:jc w:val="both"/>
        <w:rPr>
          <w:rFonts w:ascii="Arial" w:hAnsi="Arial" w:cs="Arial"/>
          <w:color w:val="2E74B5" w:themeColor="accent1" w:themeShade="BF"/>
          <w:sz w:val="24"/>
          <w:szCs w:val="24"/>
        </w:rPr>
      </w:pPr>
    </w:p>
    <w:p w14:paraId="21475C1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Asimismo, los hallazgos permiten observar cómo las plataformas digitales contemporáneas integran los estímulos emocionales y las experiencias de navegación diseñadas para favorecer la interacción constante y la permanencia del consumidor dentro de las plataformas.</w:t>
      </w:r>
    </w:p>
    <w:p w14:paraId="49A4D138" w14:textId="77777777" w:rsidR="00653A61" w:rsidRDefault="00653A61">
      <w:pPr>
        <w:jc w:val="both"/>
        <w:rPr>
          <w:rFonts w:ascii="Arial" w:hAnsi="Arial" w:cs="Arial"/>
          <w:color w:val="2E74B5" w:themeColor="accent1" w:themeShade="BF"/>
          <w:sz w:val="24"/>
          <w:szCs w:val="24"/>
        </w:rPr>
      </w:pPr>
    </w:p>
    <w:p w14:paraId="52FB3CA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Finalmente, la investigación contribuye al desarrollo de estudios acerca del marketing emocional y el comportamiento del consumidor digital dentro del contexto colombiano, proporcionando evidencia empírica relevante para futuras investigaciones relacionadas con el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las plataformas digitales y el consumo juvenil.</w:t>
      </w:r>
    </w:p>
    <w:p w14:paraId="0B523D9E" w14:textId="77777777" w:rsidR="00653A61" w:rsidRDefault="00653A61">
      <w:pPr>
        <w:jc w:val="both"/>
        <w:rPr>
          <w:rFonts w:ascii="Arial" w:hAnsi="Arial" w:cs="Arial"/>
          <w:color w:val="2E74B5" w:themeColor="accent1" w:themeShade="BF"/>
          <w:sz w:val="24"/>
          <w:szCs w:val="24"/>
        </w:rPr>
      </w:pPr>
    </w:p>
    <w:p w14:paraId="6D12884C"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4.3 Implicaciones gerenciales</w:t>
      </w:r>
    </w:p>
    <w:p w14:paraId="7B03CAC2" w14:textId="77777777" w:rsidR="00653A61" w:rsidRDefault="00653A61">
      <w:pPr>
        <w:jc w:val="both"/>
        <w:rPr>
          <w:rFonts w:ascii="Arial" w:hAnsi="Arial" w:cs="Arial"/>
          <w:b/>
          <w:bCs/>
          <w:color w:val="2E74B5" w:themeColor="accent1" w:themeShade="BF"/>
          <w:sz w:val="24"/>
          <w:szCs w:val="24"/>
        </w:rPr>
      </w:pPr>
    </w:p>
    <w:p w14:paraId="5B867E1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Los resultados obtenidos sugieren que las marcas locales de moda enfrentan actualmente el desafío de competir no únicamente desde atributos funcionales como precio, calidad o disponibilidad de productos, sino también desde la construcción de experiencias digitales emocionalmente atractivas para los consumidores jóvenes.</w:t>
      </w:r>
    </w:p>
    <w:p w14:paraId="51A138A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este contexto, las marcas locales podrían fortalecer sus estrategias digitales a través de plataformas más dinámicas que sean visualmente atractivas e interactivas, capaces de generar mayores niveles de involucramiento emocional durante la experiencia de navegación y compra.</w:t>
      </w:r>
    </w:p>
    <w:p w14:paraId="31079D96" w14:textId="77777777" w:rsidR="00653A61" w:rsidRDefault="00653A61">
      <w:pPr>
        <w:jc w:val="both"/>
        <w:rPr>
          <w:rFonts w:ascii="Arial" w:hAnsi="Arial" w:cs="Arial"/>
          <w:color w:val="2E74B5" w:themeColor="accent1" w:themeShade="BF"/>
          <w:sz w:val="24"/>
          <w:szCs w:val="24"/>
        </w:rPr>
      </w:pPr>
    </w:p>
    <w:p w14:paraId="0C35567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Asimismo, los hallazgos resaltan la importancia de comprender las dinámicas emocionales asociadas al comportamiento de consumo juvenil dentro de entornos digitales caracterizados por inmediatez, gratificación instantánea y estímulos visuales constantes.</w:t>
      </w:r>
    </w:p>
    <w:p w14:paraId="7541E372" w14:textId="77777777" w:rsidR="00653A61" w:rsidRDefault="00653A61">
      <w:pPr>
        <w:jc w:val="both"/>
        <w:rPr>
          <w:rFonts w:ascii="Arial" w:hAnsi="Arial" w:cs="Arial"/>
          <w:color w:val="2E74B5" w:themeColor="accent1" w:themeShade="BF"/>
          <w:sz w:val="24"/>
          <w:szCs w:val="24"/>
        </w:rPr>
      </w:pPr>
    </w:p>
    <w:p w14:paraId="7BBF87A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De igual manera, los resultados sugieren que las marcas locales podrían fortalecer sus estrategias de comunicación digital mediante contenidos orientados a generar cercanía emocional, identificación y participación de los consumidores jóvenes dentro de sus plataformas digitales.</w:t>
      </w:r>
    </w:p>
    <w:p w14:paraId="7DC4A3AD" w14:textId="77777777" w:rsidR="00653A61" w:rsidRDefault="00653A61">
      <w:pPr>
        <w:jc w:val="both"/>
        <w:rPr>
          <w:rFonts w:ascii="Arial" w:hAnsi="Arial" w:cs="Arial"/>
          <w:color w:val="2E74B5" w:themeColor="accent1" w:themeShade="BF"/>
          <w:sz w:val="24"/>
          <w:szCs w:val="24"/>
        </w:rPr>
      </w:pPr>
    </w:p>
    <w:p w14:paraId="7BC82E1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Otro aspecto relevante se relaciona con la necesidad de fortalecer las experiencias del usuario dentro de las plataformas digitales locales. Los hallazgos evidencian que las experiencias digitales altamente interactivas y emocionalmente estimulantes pueden relacionarse con una mayor afinidad hacia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499D0724" w14:textId="77777777" w:rsidR="00653A61" w:rsidRDefault="00653A61">
      <w:pPr>
        <w:jc w:val="both"/>
        <w:rPr>
          <w:rFonts w:ascii="Arial" w:hAnsi="Arial" w:cs="Arial"/>
          <w:color w:val="2E74B5" w:themeColor="accent1" w:themeShade="BF"/>
          <w:sz w:val="24"/>
          <w:szCs w:val="24"/>
        </w:rPr>
      </w:pPr>
    </w:p>
    <w:p w14:paraId="2827C16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consecuencia, las marcas locales podrían desarrollar estrategias digitales orientadas a mejorar aspectos relacionados con la navegación, la personalización, el diseño visual y la comunicación emocional dentro de sus entornos digitales.</w:t>
      </w:r>
    </w:p>
    <w:p w14:paraId="18325CCA" w14:textId="77777777" w:rsidR="00653A61" w:rsidRDefault="00653A61">
      <w:pPr>
        <w:jc w:val="both"/>
        <w:rPr>
          <w:rFonts w:ascii="Arial" w:hAnsi="Arial" w:cs="Arial"/>
          <w:color w:val="2E74B5" w:themeColor="accent1" w:themeShade="BF"/>
          <w:sz w:val="24"/>
          <w:szCs w:val="24"/>
        </w:rPr>
      </w:pPr>
    </w:p>
    <w:p w14:paraId="5F1E6DD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Asimismo, los resultados permiten identificar la importancia de adaptar las estrategias digitales locales a las dinámicas de consumo propias de la Generación Z, las cuales </w:t>
      </w:r>
      <w:proofErr w:type="gramStart"/>
      <w:r>
        <w:rPr>
          <w:rFonts w:ascii="Arial" w:hAnsi="Arial" w:cs="Arial"/>
          <w:color w:val="2E74B5" w:themeColor="accent1" w:themeShade="BF"/>
          <w:sz w:val="24"/>
          <w:szCs w:val="24"/>
        </w:rPr>
        <w:t>se  caracterizan</w:t>
      </w:r>
      <w:proofErr w:type="gramEnd"/>
      <w:r>
        <w:rPr>
          <w:rFonts w:ascii="Arial" w:hAnsi="Arial" w:cs="Arial"/>
          <w:color w:val="2E74B5" w:themeColor="accent1" w:themeShade="BF"/>
          <w:sz w:val="24"/>
          <w:szCs w:val="24"/>
        </w:rPr>
        <w:t xml:space="preserve"> por su alta exposición a contenidos digitales, la </w:t>
      </w:r>
      <w:r>
        <w:rPr>
          <w:rFonts w:ascii="Arial" w:hAnsi="Arial" w:cs="Arial"/>
          <w:color w:val="2E74B5" w:themeColor="accent1" w:themeShade="BF"/>
          <w:sz w:val="24"/>
          <w:szCs w:val="24"/>
        </w:rPr>
        <w:lastRenderedPageBreak/>
        <w:t>interacción constante con plataformas tecnológicas y la búsqueda de experiencias rápidas y visualmente atractivas.</w:t>
      </w:r>
    </w:p>
    <w:p w14:paraId="2D690E13" w14:textId="77777777" w:rsidR="00653A61" w:rsidRDefault="00653A61">
      <w:pPr>
        <w:jc w:val="both"/>
        <w:rPr>
          <w:rFonts w:ascii="Arial" w:hAnsi="Arial" w:cs="Arial"/>
          <w:color w:val="2E74B5" w:themeColor="accent1" w:themeShade="BF"/>
          <w:sz w:val="24"/>
          <w:szCs w:val="24"/>
        </w:rPr>
      </w:pPr>
    </w:p>
    <w:p w14:paraId="324DCC7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 este sentido, las implicaciones gerenciales derivadas de la investigación resaltan la necesidad de comprender el marketing emocional como un componente estratégico dentro de los procesos de construcción de marca y la experiencia digital contemporánea.</w:t>
      </w:r>
    </w:p>
    <w:p w14:paraId="6DAAAC3A" w14:textId="77777777" w:rsidR="00653A61" w:rsidRDefault="00653A61">
      <w:pPr>
        <w:jc w:val="both"/>
        <w:rPr>
          <w:rFonts w:ascii="Arial" w:hAnsi="Arial" w:cs="Arial"/>
          <w:b/>
          <w:bCs/>
          <w:color w:val="2E74B5" w:themeColor="accent1" w:themeShade="BF"/>
          <w:sz w:val="24"/>
          <w:szCs w:val="24"/>
        </w:rPr>
      </w:pPr>
    </w:p>
    <w:p w14:paraId="479E1E96" w14:textId="77777777" w:rsidR="00653A61" w:rsidRDefault="00563720">
      <w:p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4.4 Futuras líneas de investigación</w:t>
      </w:r>
    </w:p>
    <w:p w14:paraId="18084187" w14:textId="77777777" w:rsidR="00653A61" w:rsidRDefault="00653A61">
      <w:pPr>
        <w:jc w:val="both"/>
        <w:rPr>
          <w:rFonts w:ascii="Arial" w:hAnsi="Arial" w:cs="Arial"/>
          <w:b/>
          <w:bCs/>
          <w:color w:val="2E74B5" w:themeColor="accent1" w:themeShade="BF"/>
          <w:sz w:val="24"/>
          <w:szCs w:val="24"/>
        </w:rPr>
      </w:pPr>
    </w:p>
    <w:p w14:paraId="0FC6942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 partir de los hallazgos obtenidos, se sugiere que futuras investigaciones profundicen en el análisis de la relación entre marketing emocional, plataformas digitales y comportamiento de compra mediante metodologías complementarias que permitan ampliar la comprensión del fenómeno.</w:t>
      </w:r>
    </w:p>
    <w:p w14:paraId="502DD01D" w14:textId="77777777" w:rsidR="00653A61" w:rsidRDefault="00653A61">
      <w:pPr>
        <w:jc w:val="both"/>
        <w:rPr>
          <w:rFonts w:ascii="Arial" w:hAnsi="Arial" w:cs="Arial"/>
          <w:color w:val="2E74B5" w:themeColor="accent1" w:themeShade="BF"/>
          <w:sz w:val="24"/>
          <w:szCs w:val="24"/>
        </w:rPr>
      </w:pPr>
    </w:p>
    <w:p w14:paraId="0895DAB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Estas futuras investigaciones podrían incorporar diseños longitudinales orientados a identificar cambios en las dinámicas de consumo digital juvenil a lo largo del tiempo, considerando la rápida evolución de las plataformas digitales y las estrategias de marketing utilizadas por empresas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77F4E483" w14:textId="77777777" w:rsidR="00653A61" w:rsidRDefault="00653A61">
      <w:pPr>
        <w:jc w:val="both"/>
        <w:rPr>
          <w:rFonts w:ascii="Arial" w:hAnsi="Arial" w:cs="Arial"/>
          <w:color w:val="2E74B5" w:themeColor="accent1" w:themeShade="BF"/>
          <w:sz w:val="24"/>
          <w:szCs w:val="24"/>
        </w:rPr>
      </w:pPr>
    </w:p>
    <w:p w14:paraId="08EF78B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Asimismo, sería pertinente desarrollar investigaciones con muestras probabilísticas que permitan ampliar la capacidad de generalización estadística de los resultados hacia otros contextos poblacionales.</w:t>
      </w:r>
    </w:p>
    <w:p w14:paraId="65F6D986" w14:textId="77777777" w:rsidR="00653A61" w:rsidRDefault="00653A61">
      <w:pPr>
        <w:jc w:val="both"/>
        <w:rPr>
          <w:rFonts w:ascii="Arial" w:hAnsi="Arial" w:cs="Arial"/>
          <w:color w:val="2E74B5" w:themeColor="accent1" w:themeShade="BF"/>
          <w:sz w:val="24"/>
          <w:szCs w:val="24"/>
        </w:rPr>
      </w:pPr>
    </w:p>
    <w:p w14:paraId="4A03C9B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De igual manera, futuras investigaciones podrían también comparar el comportamiento de los consumidores pertenecientes a las diferentes ciudades colombianas o segmentos etarios, permitiendo así identificar las posibles diferencias culturales y comportamentales frente al consumo digital en las plataformas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0E5F2C42" w14:textId="77777777" w:rsidR="00653A61" w:rsidRDefault="00653A61">
      <w:pPr>
        <w:jc w:val="both"/>
        <w:rPr>
          <w:rFonts w:ascii="Arial" w:hAnsi="Arial" w:cs="Arial"/>
          <w:color w:val="2E74B5" w:themeColor="accent1" w:themeShade="BF"/>
          <w:sz w:val="24"/>
          <w:szCs w:val="24"/>
        </w:rPr>
      </w:pPr>
    </w:p>
    <w:p w14:paraId="7431963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Otra línea de investigación relevante podría encaminarse al análisis comparativo entre las plataformas globales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 xml:space="preserve"> y las marcas locales de moda, particularmente en los aspectos relacionados con la experiencia digital, la construcción emocional de marca y las estrategias de interacción entre los consumidores jóvenes.</w:t>
      </w:r>
    </w:p>
    <w:p w14:paraId="2D5CF607" w14:textId="77777777" w:rsidR="00653A61" w:rsidRDefault="00653A61">
      <w:pPr>
        <w:jc w:val="both"/>
        <w:rPr>
          <w:rFonts w:ascii="Arial" w:hAnsi="Arial" w:cs="Arial"/>
          <w:color w:val="2E74B5" w:themeColor="accent1" w:themeShade="BF"/>
          <w:sz w:val="24"/>
          <w:szCs w:val="24"/>
        </w:rPr>
      </w:pPr>
    </w:p>
    <w:p w14:paraId="625744F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Asimismo, futuras investigaciones podrían incorporar metodologías cualitativas orientadas a profundizar en las percepciones subjetivas y experiencias emocionales de los consumidores frente a plataformas digitales de </w:t>
      </w:r>
      <w:proofErr w:type="spellStart"/>
      <w:r>
        <w:rPr>
          <w:rFonts w:ascii="Arial" w:hAnsi="Arial" w:cs="Arial"/>
          <w:i/>
          <w:color w:val="2E74B5" w:themeColor="accent1" w:themeShade="BF"/>
          <w:sz w:val="24"/>
          <w:szCs w:val="24"/>
        </w:rPr>
        <w:t>fast</w:t>
      </w:r>
      <w:proofErr w:type="spellEnd"/>
      <w:r>
        <w:rPr>
          <w:rFonts w:ascii="Arial" w:hAnsi="Arial" w:cs="Arial"/>
          <w:i/>
          <w:color w:val="2E74B5" w:themeColor="accent1" w:themeShade="BF"/>
          <w:sz w:val="24"/>
          <w:szCs w:val="24"/>
        </w:rPr>
        <w:t xml:space="preserve"> </w:t>
      </w:r>
      <w:proofErr w:type="spellStart"/>
      <w:r>
        <w:rPr>
          <w:rFonts w:ascii="Arial" w:hAnsi="Arial" w:cs="Arial"/>
          <w:i/>
          <w:color w:val="2E74B5" w:themeColor="accent1" w:themeShade="BF"/>
          <w:sz w:val="24"/>
          <w:szCs w:val="24"/>
        </w:rPr>
        <w:t>fashion</w:t>
      </w:r>
      <w:proofErr w:type="spellEnd"/>
      <w:r>
        <w:rPr>
          <w:rFonts w:ascii="Arial" w:hAnsi="Arial" w:cs="Arial"/>
          <w:color w:val="2E74B5" w:themeColor="accent1" w:themeShade="BF"/>
          <w:sz w:val="24"/>
          <w:szCs w:val="24"/>
        </w:rPr>
        <w:t>.</w:t>
      </w:r>
    </w:p>
    <w:p w14:paraId="48FE343D" w14:textId="77777777" w:rsidR="00653A61" w:rsidRDefault="00653A61">
      <w:pPr>
        <w:jc w:val="both"/>
        <w:rPr>
          <w:rFonts w:ascii="Arial" w:hAnsi="Arial" w:cs="Arial"/>
          <w:color w:val="2E74B5" w:themeColor="accent1" w:themeShade="BF"/>
          <w:sz w:val="24"/>
          <w:szCs w:val="24"/>
        </w:rPr>
      </w:pPr>
    </w:p>
    <w:p w14:paraId="5B26E6F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Finalmente, se recomienda continuar el desarrollo de </w:t>
      </w:r>
      <w:proofErr w:type="gramStart"/>
      <w:r>
        <w:rPr>
          <w:rFonts w:ascii="Arial" w:hAnsi="Arial" w:cs="Arial"/>
          <w:color w:val="2E74B5" w:themeColor="accent1" w:themeShade="BF"/>
          <w:sz w:val="24"/>
          <w:szCs w:val="24"/>
        </w:rPr>
        <w:t>investigaciones  que</w:t>
      </w:r>
      <w:proofErr w:type="gramEnd"/>
      <w:r>
        <w:rPr>
          <w:rFonts w:ascii="Arial" w:hAnsi="Arial" w:cs="Arial"/>
          <w:color w:val="2E74B5" w:themeColor="accent1" w:themeShade="BF"/>
          <w:sz w:val="24"/>
          <w:szCs w:val="24"/>
        </w:rPr>
        <w:t xml:space="preserve"> estén relacionadas con el marketing emocional y el comportamiento del consumidor digital dentro del contexto latinoamericano, dado que aún es limitada la evidencia empírica acerca de este fenómeno en comparación con otros contextos internacionales.</w:t>
      </w:r>
    </w:p>
    <w:p w14:paraId="7E76A322" w14:textId="77777777" w:rsidR="00653A61" w:rsidRDefault="00653A61">
      <w:pPr>
        <w:jc w:val="both"/>
        <w:rPr>
          <w:rFonts w:ascii="Arial" w:hAnsi="Arial" w:cs="Arial"/>
          <w:color w:val="2E74B5" w:themeColor="accent1" w:themeShade="BF"/>
          <w:sz w:val="24"/>
          <w:szCs w:val="24"/>
        </w:rPr>
      </w:pPr>
    </w:p>
    <w:p w14:paraId="285D4BA9" w14:textId="77777777" w:rsidR="00653A61" w:rsidRDefault="00563720">
      <w:pPr>
        <w:pStyle w:val="Prrafodelista"/>
        <w:numPr>
          <w:ilvl w:val="0"/>
          <w:numId w:val="16"/>
        </w:numPr>
        <w:jc w:val="both"/>
        <w:rPr>
          <w:rFonts w:ascii="Arial" w:hAnsi="Arial" w:cs="Arial"/>
          <w:b/>
          <w:bCs/>
          <w:color w:val="2E74B5" w:themeColor="accent1" w:themeShade="BF"/>
          <w:sz w:val="24"/>
          <w:szCs w:val="24"/>
        </w:rPr>
      </w:pPr>
      <w:r>
        <w:rPr>
          <w:rFonts w:ascii="Arial" w:hAnsi="Arial" w:cs="Arial"/>
          <w:b/>
          <w:bCs/>
          <w:color w:val="2E74B5" w:themeColor="accent1" w:themeShade="BF"/>
          <w:sz w:val="24"/>
          <w:szCs w:val="24"/>
        </w:rPr>
        <w:t>ANEXO.  INTRUMENTO DE MEDIDA APLICADO AL ESTUDIO EMPÍRICO</w:t>
      </w:r>
    </w:p>
    <w:p w14:paraId="1E2C530F" w14:textId="77777777" w:rsidR="00653A61" w:rsidRDefault="00653A61">
      <w:pPr>
        <w:pStyle w:val="Prrafodelista"/>
        <w:jc w:val="both"/>
        <w:rPr>
          <w:rFonts w:ascii="Arial" w:hAnsi="Arial" w:cs="Arial"/>
          <w:b/>
          <w:bCs/>
          <w:color w:val="2E74B5" w:themeColor="accent1" w:themeShade="BF"/>
          <w:sz w:val="24"/>
          <w:szCs w:val="24"/>
        </w:rPr>
      </w:pPr>
    </w:p>
    <w:p w14:paraId="257B36E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SECCIÓN 1: Consentimiento informado</w:t>
      </w:r>
    </w:p>
    <w:p w14:paraId="02F6D8B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Consentimiento informado y protección de datos</w:t>
      </w:r>
    </w:p>
    <w:p w14:paraId="52E4F4A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Este cuestionario es parte de un estudio académico. Tu participación es voluntaria y anónima. No se recopilan datos personales que permitan identificarte. La información será utilizada únicamente con fines académicos. Puedes dejar de participar en cualquier momento antes de enviar el cuestionario. Elige la opción continuar si aceptas participar de manera voluntaria en este estudio o Finalizar si no aceptas.</w:t>
      </w:r>
    </w:p>
    <w:p w14:paraId="348A23B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32887EFE" w14:textId="77777777" w:rsidR="00653A61" w:rsidRDefault="00563720">
      <w:pPr>
        <w:pStyle w:val="Prrafodelista"/>
        <w:numPr>
          <w:ilvl w:val="0"/>
          <w:numId w:val="8"/>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Continuar (Siguiente sección)</w:t>
      </w:r>
    </w:p>
    <w:p w14:paraId="397C9E81" w14:textId="77777777" w:rsidR="00653A61" w:rsidRDefault="00563720">
      <w:pPr>
        <w:pStyle w:val="Prrafodelista"/>
        <w:numPr>
          <w:ilvl w:val="0"/>
          <w:numId w:val="8"/>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Finalizar (Finaliza el formulario)</w:t>
      </w:r>
    </w:p>
    <w:p w14:paraId="7CD99898" w14:textId="77777777" w:rsidR="00653A61" w:rsidRDefault="00653A61">
      <w:pPr>
        <w:jc w:val="both"/>
        <w:rPr>
          <w:rFonts w:ascii="Arial" w:hAnsi="Arial" w:cs="Arial"/>
          <w:color w:val="2E74B5" w:themeColor="accent1" w:themeShade="BF"/>
          <w:sz w:val="24"/>
          <w:szCs w:val="24"/>
        </w:rPr>
      </w:pPr>
    </w:p>
    <w:p w14:paraId="42C0085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SECCIÓN 2: FILTRO</w:t>
      </w:r>
    </w:p>
    <w:p w14:paraId="5C0CB4A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¿Has realizado compras en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w:t>
      </w:r>
    </w:p>
    <w:p w14:paraId="6E7BCD6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1E83B49F" w14:textId="77777777" w:rsidR="00653A61" w:rsidRDefault="00563720">
      <w:pPr>
        <w:pStyle w:val="Prrafodelista"/>
        <w:numPr>
          <w:ilvl w:val="0"/>
          <w:numId w:val="8"/>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SÍ (siguiente sección)</w:t>
      </w:r>
    </w:p>
    <w:p w14:paraId="3DB50743" w14:textId="77777777" w:rsidR="00653A61" w:rsidRDefault="00563720">
      <w:pPr>
        <w:pStyle w:val="Prrafodelista"/>
        <w:numPr>
          <w:ilvl w:val="0"/>
          <w:numId w:val="8"/>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NO (si elige no finaliza el cuestionario)</w:t>
      </w:r>
    </w:p>
    <w:p w14:paraId="64E46476" w14:textId="77777777" w:rsidR="00653A61" w:rsidRDefault="00653A61">
      <w:pPr>
        <w:jc w:val="both"/>
        <w:rPr>
          <w:rFonts w:ascii="Arial" w:hAnsi="Arial" w:cs="Arial"/>
          <w:color w:val="2E74B5" w:themeColor="accent1" w:themeShade="BF"/>
          <w:sz w:val="24"/>
          <w:szCs w:val="24"/>
        </w:rPr>
      </w:pPr>
    </w:p>
    <w:p w14:paraId="28EEFBE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SECCIÓN 3: Datos demográficos </w:t>
      </w:r>
    </w:p>
    <w:p w14:paraId="7341A7A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D1. ¿En qué rango de edad te encuentras?</w:t>
      </w:r>
    </w:p>
    <w:p w14:paraId="38C88A8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00764791" w14:textId="77777777" w:rsidR="00653A61" w:rsidRDefault="00563720">
      <w:pPr>
        <w:pStyle w:val="Prrafodelista"/>
        <w:numPr>
          <w:ilvl w:val="0"/>
          <w:numId w:val="9"/>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18 – 20 años</w:t>
      </w:r>
    </w:p>
    <w:p w14:paraId="54A42AD7" w14:textId="77777777" w:rsidR="00653A61" w:rsidRDefault="00563720">
      <w:pPr>
        <w:pStyle w:val="Prrafodelista"/>
        <w:numPr>
          <w:ilvl w:val="0"/>
          <w:numId w:val="9"/>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21 – 23 años</w:t>
      </w:r>
    </w:p>
    <w:p w14:paraId="390C578B" w14:textId="77777777" w:rsidR="00653A61" w:rsidRDefault="00563720">
      <w:pPr>
        <w:pStyle w:val="Prrafodelista"/>
        <w:numPr>
          <w:ilvl w:val="0"/>
          <w:numId w:val="9"/>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24 – 26 años</w:t>
      </w:r>
    </w:p>
    <w:p w14:paraId="298741D8" w14:textId="77777777" w:rsidR="00653A61" w:rsidRDefault="00563720">
      <w:pPr>
        <w:pStyle w:val="Prrafodelista"/>
        <w:numPr>
          <w:ilvl w:val="0"/>
          <w:numId w:val="9"/>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27 – 28 años</w:t>
      </w:r>
    </w:p>
    <w:p w14:paraId="44F5C6D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D2. ¿Cuál es tu género?</w:t>
      </w:r>
    </w:p>
    <w:p w14:paraId="23DA4255" w14:textId="77777777" w:rsidR="00653A61" w:rsidRDefault="00563720">
      <w:pPr>
        <w:pStyle w:val="Prrafodelista"/>
        <w:numPr>
          <w:ilvl w:val="0"/>
          <w:numId w:val="10"/>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Femenino</w:t>
      </w:r>
    </w:p>
    <w:p w14:paraId="072F8602" w14:textId="77777777" w:rsidR="00653A61" w:rsidRDefault="00563720">
      <w:pPr>
        <w:pStyle w:val="Prrafodelista"/>
        <w:numPr>
          <w:ilvl w:val="0"/>
          <w:numId w:val="10"/>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Masculino</w:t>
      </w:r>
    </w:p>
    <w:p w14:paraId="4534A702" w14:textId="77777777" w:rsidR="00653A61" w:rsidRDefault="00563720">
      <w:pPr>
        <w:pStyle w:val="Prrafodelista"/>
        <w:numPr>
          <w:ilvl w:val="0"/>
          <w:numId w:val="10"/>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Otro</w:t>
      </w:r>
    </w:p>
    <w:p w14:paraId="0FF7DEFB" w14:textId="77777777" w:rsidR="00653A61" w:rsidRDefault="00563720">
      <w:pPr>
        <w:pStyle w:val="Prrafodelista"/>
        <w:numPr>
          <w:ilvl w:val="0"/>
          <w:numId w:val="10"/>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Prefiero no responder</w:t>
      </w:r>
    </w:p>
    <w:p w14:paraId="3332023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D3.</w:t>
      </w:r>
      <w:r>
        <w:rPr>
          <w:rFonts w:ascii="docs-Roboto" w:hAnsi="docs-Roboto"/>
          <w:color w:val="1F1F1F"/>
          <w:shd w:val="clear" w:color="auto" w:fill="F2F2F2"/>
        </w:rPr>
        <w:t xml:space="preserve"> </w:t>
      </w:r>
      <w:r>
        <w:rPr>
          <w:rFonts w:ascii="Arial" w:hAnsi="Arial" w:cs="Arial"/>
          <w:color w:val="2E74B5" w:themeColor="accent1" w:themeShade="BF"/>
          <w:sz w:val="24"/>
          <w:szCs w:val="24"/>
        </w:rPr>
        <w:t>¿Cuál es tu nivel educativo alcanzado?</w:t>
      </w:r>
    </w:p>
    <w:p w14:paraId="208B2F27"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169CAFBB" w14:textId="77777777" w:rsidR="00653A61" w:rsidRDefault="00563720">
      <w:pPr>
        <w:pStyle w:val="Prrafodelista"/>
        <w:numPr>
          <w:ilvl w:val="0"/>
          <w:numId w:val="1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Bachillerato</w:t>
      </w:r>
    </w:p>
    <w:p w14:paraId="140E5421" w14:textId="77777777" w:rsidR="00653A61" w:rsidRDefault="00563720">
      <w:pPr>
        <w:pStyle w:val="Prrafodelista"/>
        <w:numPr>
          <w:ilvl w:val="0"/>
          <w:numId w:val="1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Técnico / Tecnológico</w:t>
      </w:r>
    </w:p>
    <w:p w14:paraId="04BE3C80" w14:textId="77777777" w:rsidR="00653A61" w:rsidRDefault="00563720">
      <w:pPr>
        <w:pStyle w:val="Prrafodelista"/>
        <w:numPr>
          <w:ilvl w:val="0"/>
          <w:numId w:val="1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Universitario en curso</w:t>
      </w:r>
    </w:p>
    <w:p w14:paraId="1123AB0F" w14:textId="77777777" w:rsidR="00653A61" w:rsidRDefault="00563720">
      <w:pPr>
        <w:pStyle w:val="Prrafodelista"/>
        <w:numPr>
          <w:ilvl w:val="0"/>
          <w:numId w:val="1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Universitario finalizado</w:t>
      </w:r>
    </w:p>
    <w:p w14:paraId="2066068A" w14:textId="77777777" w:rsidR="00653A61" w:rsidRDefault="00563720">
      <w:pPr>
        <w:pStyle w:val="Prrafodelista"/>
        <w:numPr>
          <w:ilvl w:val="0"/>
          <w:numId w:val="11"/>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Posgrado</w:t>
      </w:r>
    </w:p>
    <w:p w14:paraId="0515966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D4.   ¿Cuál es tu ocupación actual?  </w:t>
      </w:r>
    </w:p>
    <w:p w14:paraId="2838B99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23341E69" w14:textId="77777777" w:rsidR="00653A61" w:rsidRDefault="00563720">
      <w:pPr>
        <w:pStyle w:val="Prrafodelista"/>
        <w:numPr>
          <w:ilvl w:val="0"/>
          <w:numId w:val="12"/>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Estudiando</w:t>
      </w:r>
    </w:p>
    <w:p w14:paraId="217F6C1A" w14:textId="77777777" w:rsidR="00653A61" w:rsidRDefault="00563720">
      <w:pPr>
        <w:pStyle w:val="Prrafodelista"/>
        <w:numPr>
          <w:ilvl w:val="0"/>
          <w:numId w:val="12"/>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Estudiando y trabajando</w:t>
      </w:r>
    </w:p>
    <w:p w14:paraId="3062DFA3" w14:textId="77777777" w:rsidR="00653A61" w:rsidRDefault="00563720">
      <w:pPr>
        <w:pStyle w:val="Prrafodelista"/>
        <w:numPr>
          <w:ilvl w:val="0"/>
          <w:numId w:val="12"/>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Trabajando</w:t>
      </w:r>
    </w:p>
    <w:p w14:paraId="5C2A40E9" w14:textId="77777777" w:rsidR="00653A61" w:rsidRDefault="00563720">
      <w:pPr>
        <w:pStyle w:val="Prrafodelista"/>
        <w:numPr>
          <w:ilvl w:val="0"/>
          <w:numId w:val="12"/>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Emprendiendo</w:t>
      </w:r>
    </w:p>
    <w:p w14:paraId="5C091C89" w14:textId="77777777" w:rsidR="00653A61" w:rsidRDefault="00563720">
      <w:pPr>
        <w:pStyle w:val="Prrafodelista"/>
        <w:numPr>
          <w:ilvl w:val="0"/>
          <w:numId w:val="12"/>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Ninguna de las anteriores</w:t>
      </w:r>
    </w:p>
    <w:p w14:paraId="6498913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D5. ¿Cuál es tu nivel aproximado de ingresos mensuales?  El SMMLV es $1.750.905 COP</w:t>
      </w:r>
    </w:p>
    <w:p w14:paraId="4C07652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52BFC31C" w14:textId="77777777" w:rsidR="00653A61" w:rsidRDefault="00563720">
      <w:pPr>
        <w:pStyle w:val="Prrafodelista"/>
        <w:numPr>
          <w:ilvl w:val="0"/>
          <w:numId w:val="13"/>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Sin ingresos propios</w:t>
      </w:r>
    </w:p>
    <w:p w14:paraId="21ACE962" w14:textId="77777777" w:rsidR="00653A61" w:rsidRDefault="00563720">
      <w:pPr>
        <w:pStyle w:val="Prrafodelista"/>
        <w:numPr>
          <w:ilvl w:val="0"/>
          <w:numId w:val="13"/>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Menos de 1 SMMLV</w:t>
      </w:r>
    </w:p>
    <w:p w14:paraId="018210C6" w14:textId="77777777" w:rsidR="00653A61" w:rsidRDefault="00563720">
      <w:pPr>
        <w:pStyle w:val="Prrafodelista"/>
        <w:numPr>
          <w:ilvl w:val="0"/>
          <w:numId w:val="13"/>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Entre 1 y 2 SMMLV</w:t>
      </w:r>
    </w:p>
    <w:p w14:paraId="75CA29EF" w14:textId="77777777" w:rsidR="00653A61" w:rsidRDefault="00563720">
      <w:pPr>
        <w:pStyle w:val="Prrafodelista"/>
        <w:numPr>
          <w:ilvl w:val="0"/>
          <w:numId w:val="13"/>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Entre 2 y 3 SMMLV</w:t>
      </w:r>
    </w:p>
    <w:p w14:paraId="67B7A3E5" w14:textId="77777777" w:rsidR="00653A61" w:rsidRDefault="00563720">
      <w:pPr>
        <w:pStyle w:val="Prrafodelista"/>
        <w:numPr>
          <w:ilvl w:val="0"/>
          <w:numId w:val="13"/>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Más de 3 SMMLV</w:t>
      </w:r>
    </w:p>
    <w:p w14:paraId="0B17672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D6.  ¿Cuál es tu estrato socioeconómico? </w:t>
      </w:r>
    </w:p>
    <w:p w14:paraId="1BDC15C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653C8DB8" w14:textId="77777777" w:rsidR="00653A61" w:rsidRDefault="00563720">
      <w:pPr>
        <w:pStyle w:val="Prrafodelista"/>
        <w:numPr>
          <w:ilvl w:val="0"/>
          <w:numId w:val="1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Estrato 1</w:t>
      </w:r>
    </w:p>
    <w:p w14:paraId="5F15B38B" w14:textId="77777777" w:rsidR="00653A61" w:rsidRDefault="00563720">
      <w:pPr>
        <w:pStyle w:val="Prrafodelista"/>
        <w:numPr>
          <w:ilvl w:val="0"/>
          <w:numId w:val="1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Estrato 2</w:t>
      </w:r>
    </w:p>
    <w:p w14:paraId="5E95C452" w14:textId="77777777" w:rsidR="00653A61" w:rsidRDefault="00563720">
      <w:pPr>
        <w:pStyle w:val="Prrafodelista"/>
        <w:numPr>
          <w:ilvl w:val="0"/>
          <w:numId w:val="1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Estrato 3</w:t>
      </w:r>
    </w:p>
    <w:p w14:paraId="32995C0D" w14:textId="77777777" w:rsidR="00653A61" w:rsidRDefault="00563720">
      <w:pPr>
        <w:pStyle w:val="Prrafodelista"/>
        <w:numPr>
          <w:ilvl w:val="0"/>
          <w:numId w:val="1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Estrato 4</w:t>
      </w:r>
    </w:p>
    <w:p w14:paraId="406D2588" w14:textId="77777777" w:rsidR="00653A61" w:rsidRDefault="00563720">
      <w:pPr>
        <w:pStyle w:val="Prrafodelista"/>
        <w:numPr>
          <w:ilvl w:val="0"/>
          <w:numId w:val="1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Estrato 5</w:t>
      </w:r>
    </w:p>
    <w:p w14:paraId="36459ED6" w14:textId="77777777" w:rsidR="00653A61" w:rsidRDefault="00563720">
      <w:pPr>
        <w:pStyle w:val="Prrafodelista"/>
        <w:numPr>
          <w:ilvl w:val="0"/>
          <w:numId w:val="1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Estrato 6</w:t>
      </w:r>
    </w:p>
    <w:p w14:paraId="27EB35B6" w14:textId="77777777" w:rsidR="00653A61" w:rsidRDefault="00563720">
      <w:pPr>
        <w:pStyle w:val="Prrafodelista"/>
        <w:numPr>
          <w:ilvl w:val="0"/>
          <w:numId w:val="14"/>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No sabe</w:t>
      </w:r>
    </w:p>
    <w:p w14:paraId="057842E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D7. ¿Con qué frecuencia realizas compras en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w:t>
      </w:r>
    </w:p>
    <w:p w14:paraId="71ABBC8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646CB014" w14:textId="77777777" w:rsidR="00653A61" w:rsidRDefault="00563720">
      <w:pPr>
        <w:pStyle w:val="Prrafodelista"/>
        <w:numPr>
          <w:ilvl w:val="0"/>
          <w:numId w:val="15"/>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Muy frecuentemente</w:t>
      </w:r>
    </w:p>
    <w:p w14:paraId="38ABE714" w14:textId="77777777" w:rsidR="00653A61" w:rsidRDefault="00563720">
      <w:pPr>
        <w:pStyle w:val="Prrafodelista"/>
        <w:numPr>
          <w:ilvl w:val="0"/>
          <w:numId w:val="15"/>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Frecuentemente</w:t>
      </w:r>
    </w:p>
    <w:p w14:paraId="35CCAEC0" w14:textId="77777777" w:rsidR="00653A61" w:rsidRDefault="00563720">
      <w:pPr>
        <w:pStyle w:val="Prrafodelista"/>
        <w:numPr>
          <w:ilvl w:val="0"/>
          <w:numId w:val="15"/>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Ocasionalmente</w:t>
      </w:r>
    </w:p>
    <w:p w14:paraId="0858D658" w14:textId="77777777" w:rsidR="00653A61" w:rsidRDefault="00563720">
      <w:pPr>
        <w:pStyle w:val="Prrafodelista"/>
        <w:numPr>
          <w:ilvl w:val="0"/>
          <w:numId w:val="15"/>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Rara vez</w:t>
      </w:r>
    </w:p>
    <w:p w14:paraId="5323923C" w14:textId="77777777" w:rsidR="00653A61" w:rsidRDefault="00563720">
      <w:pPr>
        <w:pStyle w:val="Prrafodelista"/>
        <w:numPr>
          <w:ilvl w:val="0"/>
          <w:numId w:val="15"/>
        </w:numPr>
        <w:jc w:val="both"/>
        <w:rPr>
          <w:rFonts w:ascii="Arial" w:hAnsi="Arial" w:cs="Arial"/>
          <w:color w:val="2E74B5" w:themeColor="accent1" w:themeShade="BF"/>
          <w:sz w:val="24"/>
          <w:szCs w:val="24"/>
        </w:rPr>
      </w:pPr>
      <w:r>
        <w:rPr>
          <w:rFonts w:ascii="Arial" w:hAnsi="Arial" w:cs="Arial"/>
          <w:color w:val="2E74B5" w:themeColor="accent1" w:themeShade="BF"/>
          <w:sz w:val="24"/>
          <w:szCs w:val="24"/>
        </w:rPr>
        <w:t>Nunca</w:t>
      </w:r>
    </w:p>
    <w:p w14:paraId="16ADDE58" w14:textId="77777777" w:rsidR="00653A61" w:rsidRDefault="00653A61">
      <w:pPr>
        <w:jc w:val="both"/>
        <w:rPr>
          <w:rFonts w:ascii="Arial" w:hAnsi="Arial" w:cs="Arial"/>
          <w:color w:val="2E74B5" w:themeColor="accent1" w:themeShade="BF"/>
          <w:sz w:val="24"/>
          <w:szCs w:val="24"/>
        </w:rPr>
      </w:pPr>
    </w:p>
    <w:p w14:paraId="2737819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SECCIÓN 4: Respuestas emocionales en la experiencia digital - Valencia emocional (placer / agrado)</w:t>
      </w:r>
    </w:p>
    <w:p w14:paraId="1772D9AB" w14:textId="77777777" w:rsidR="00653A61" w:rsidRDefault="00653A61">
      <w:pPr>
        <w:jc w:val="both"/>
        <w:rPr>
          <w:rFonts w:ascii="Arial" w:hAnsi="Arial" w:cs="Arial"/>
          <w:color w:val="2E74B5" w:themeColor="accent1" w:themeShade="BF"/>
          <w:sz w:val="24"/>
          <w:szCs w:val="24"/>
        </w:rPr>
      </w:pPr>
    </w:p>
    <w:p w14:paraId="2C1532DD" w14:textId="77777777" w:rsidR="00653A61" w:rsidRDefault="00563720">
      <w:pPr>
        <w:jc w:val="both"/>
        <w:rPr>
          <w:rFonts w:ascii="Arial" w:hAnsi="Arial" w:cs="Arial"/>
          <w:color w:val="2E74B5" w:themeColor="accent1" w:themeShade="BF"/>
          <w:sz w:val="24"/>
          <w:szCs w:val="24"/>
        </w:rPr>
      </w:pPr>
      <w:r>
        <w:rPr>
          <w:rFonts w:ascii="Arial" w:hAnsi="Arial" w:cs="Arial"/>
          <w:b/>
          <w:bCs/>
          <w:color w:val="2E74B5" w:themeColor="accent1" w:themeShade="BF"/>
          <w:sz w:val="24"/>
          <w:szCs w:val="24"/>
        </w:rPr>
        <w:t>Instrucciones</w:t>
      </w:r>
    </w:p>
    <w:p w14:paraId="444D158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A continuación, encontrarás una serie de afirmaciones relacionadas con tu experiencia en plataformas digitales. Por favor, indica tu nivel de acuerdo con cada una de ellas, utilizando la siguiente escala:</w:t>
      </w:r>
    </w:p>
    <w:p w14:paraId="5C400D0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1 = Totalmente en desacuerdo</w:t>
      </w:r>
    </w:p>
    <w:p w14:paraId="20407A5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2 = En desacuerdo</w:t>
      </w:r>
    </w:p>
    <w:p w14:paraId="64A3442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3 = Ni de acuerdo ni en desacuerdo</w:t>
      </w:r>
    </w:p>
    <w:p w14:paraId="667AB4D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4 = De acuerdo</w:t>
      </w:r>
    </w:p>
    <w:p w14:paraId="0C78245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5 = Totalmente de acuerdo</w:t>
      </w:r>
    </w:p>
    <w:p w14:paraId="7817436B" w14:textId="77777777" w:rsidR="00653A61" w:rsidRDefault="00653A61">
      <w:pPr>
        <w:jc w:val="both"/>
        <w:rPr>
          <w:rFonts w:ascii="Arial" w:hAnsi="Arial" w:cs="Arial"/>
          <w:color w:val="2E74B5" w:themeColor="accent1" w:themeShade="BF"/>
          <w:sz w:val="24"/>
          <w:szCs w:val="24"/>
        </w:rPr>
      </w:pPr>
    </w:p>
    <w:p w14:paraId="2F825EF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VE1. La experiencia de compra en las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me resulta agradable.  </w:t>
      </w:r>
    </w:p>
    <w:p w14:paraId="37816C8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7B2CCE6E"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00F840E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VE2.</w:t>
      </w:r>
      <w:r>
        <w:t xml:space="preserve"> </w:t>
      </w:r>
      <w:r>
        <w:rPr>
          <w:rFonts w:ascii="Arial" w:hAnsi="Arial" w:cs="Arial"/>
          <w:color w:val="2E74B5" w:themeColor="accent1" w:themeShade="BF"/>
          <w:sz w:val="24"/>
          <w:szCs w:val="24"/>
        </w:rPr>
        <w:t xml:space="preserve">Comprar en las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me genera sensaciones positivas.</w:t>
      </w:r>
    </w:p>
    <w:p w14:paraId="4EDFC4C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798BCEDE"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038C0D2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VE3. Me siento satisfecho(a) con la experiencia de compra en las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w:t>
      </w:r>
    </w:p>
    <w:p w14:paraId="2EE0E68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04F8E20D"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5B04BCC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VE4. La experiencia en las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me deja una sensación positiva después de navegar o comprar</w:t>
      </w:r>
    </w:p>
    <w:p w14:paraId="5FC9FC2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62DB14F2"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09BF6B46" w14:textId="77777777" w:rsidR="00653A61" w:rsidRDefault="00653A61">
      <w:pPr>
        <w:jc w:val="both"/>
        <w:rPr>
          <w:rFonts w:ascii="Arial" w:hAnsi="Arial" w:cs="Arial"/>
          <w:color w:val="2E74B5" w:themeColor="accent1" w:themeShade="BF"/>
          <w:sz w:val="24"/>
          <w:szCs w:val="24"/>
          <w:u w:val="single"/>
        </w:rPr>
      </w:pPr>
    </w:p>
    <w:p w14:paraId="0F830A5D" w14:textId="77777777" w:rsidR="00653A61" w:rsidRDefault="00563720">
      <w:pPr>
        <w:jc w:val="both"/>
        <w:rPr>
          <w:rFonts w:ascii="Arial" w:hAnsi="Arial" w:cs="Arial"/>
          <w:color w:val="2E74B5" w:themeColor="accent1" w:themeShade="BF"/>
          <w:sz w:val="24"/>
          <w:szCs w:val="24"/>
          <w:u w:val="single"/>
        </w:rPr>
      </w:pPr>
      <w:r>
        <w:rPr>
          <w:rFonts w:ascii="Arial" w:hAnsi="Arial" w:cs="Arial"/>
          <w:color w:val="2E74B5" w:themeColor="accent1" w:themeShade="BF"/>
          <w:sz w:val="24"/>
          <w:szCs w:val="24"/>
          <w:u w:val="single"/>
        </w:rPr>
        <w:t>Activación emocional (</w:t>
      </w:r>
      <w:proofErr w:type="spellStart"/>
      <w:r>
        <w:rPr>
          <w:rFonts w:ascii="Arial" w:hAnsi="Arial" w:cs="Arial"/>
          <w:color w:val="2E74B5" w:themeColor="accent1" w:themeShade="BF"/>
          <w:sz w:val="24"/>
          <w:szCs w:val="24"/>
          <w:u w:val="single"/>
        </w:rPr>
        <w:t>arousal</w:t>
      </w:r>
      <w:proofErr w:type="spellEnd"/>
      <w:r>
        <w:rPr>
          <w:rFonts w:ascii="Arial" w:hAnsi="Arial" w:cs="Arial"/>
          <w:color w:val="2E74B5" w:themeColor="accent1" w:themeShade="BF"/>
          <w:sz w:val="24"/>
          <w:szCs w:val="24"/>
          <w:u w:val="single"/>
        </w:rPr>
        <w:t>)</w:t>
      </w:r>
    </w:p>
    <w:p w14:paraId="31315286" w14:textId="77777777" w:rsidR="00653A61" w:rsidRDefault="00653A61">
      <w:pPr>
        <w:jc w:val="both"/>
        <w:rPr>
          <w:rFonts w:ascii="Arial" w:hAnsi="Arial" w:cs="Arial"/>
          <w:color w:val="2E74B5" w:themeColor="accent1" w:themeShade="BF"/>
          <w:sz w:val="24"/>
          <w:szCs w:val="24"/>
          <w:u w:val="single"/>
        </w:rPr>
      </w:pPr>
    </w:p>
    <w:p w14:paraId="4C37B61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AE1. Navegar por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me genera emoción o entusiasmo.</w:t>
      </w:r>
    </w:p>
    <w:p w14:paraId="10529C2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4C3C61CC"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4380B7B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AE2. Las promociones y ofertas en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me generan una sensación de urgencia por comprar.</w:t>
      </w:r>
    </w:p>
    <w:p w14:paraId="3C148A7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7B111720"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59B1184A"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AE3. Al ver productos en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me emociono y quiero seguir explorando.  </w:t>
      </w:r>
    </w:p>
    <w:p w14:paraId="79FDBDD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Respuestas:</w:t>
      </w:r>
    </w:p>
    <w:p w14:paraId="16692E69"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5C26404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AE4. Cuando encuentro descuentos en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siento un impulso por comprar.  </w:t>
      </w:r>
    </w:p>
    <w:p w14:paraId="427D686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601ABACA"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7C7CB7E3" w14:textId="77777777" w:rsidR="00653A61" w:rsidRDefault="00653A61">
      <w:pPr>
        <w:jc w:val="both"/>
        <w:rPr>
          <w:rFonts w:ascii="Arial" w:hAnsi="Arial" w:cs="Arial"/>
          <w:color w:val="2E74B5" w:themeColor="accent1" w:themeShade="BF"/>
          <w:sz w:val="24"/>
          <w:szCs w:val="24"/>
        </w:rPr>
      </w:pPr>
    </w:p>
    <w:p w14:paraId="57A77DDE" w14:textId="77777777" w:rsidR="00653A61" w:rsidRDefault="00563720">
      <w:pPr>
        <w:jc w:val="both"/>
        <w:rPr>
          <w:rFonts w:ascii="Arial" w:hAnsi="Arial" w:cs="Arial"/>
          <w:color w:val="2E74B5" w:themeColor="accent1" w:themeShade="BF"/>
          <w:sz w:val="24"/>
          <w:szCs w:val="24"/>
          <w:u w:val="single"/>
        </w:rPr>
      </w:pPr>
      <w:r>
        <w:rPr>
          <w:rFonts w:ascii="Arial" w:hAnsi="Arial" w:cs="Arial"/>
          <w:color w:val="2E74B5" w:themeColor="accent1" w:themeShade="BF"/>
          <w:sz w:val="24"/>
          <w:szCs w:val="24"/>
          <w:u w:val="single"/>
        </w:rPr>
        <w:t>Experiencia emocional digital</w:t>
      </w:r>
    </w:p>
    <w:p w14:paraId="4F9497F9"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ED1. Disfruto interactuar con la experiencia digital que ofrecen plataformas,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w:t>
      </w:r>
    </w:p>
    <w:p w14:paraId="1296FBA2"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454036F7"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4B8975A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ED2. La experiencia digital de las plataformas,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me resulta emocionalmente estimulante.</w:t>
      </w:r>
    </w:p>
    <w:p w14:paraId="73734BED"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2934AF25"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652FF59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ED3. Las plataformas,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logran captar mi atención y mantenerme interesado(a) durante la navegación.</w:t>
      </w:r>
    </w:p>
    <w:p w14:paraId="7BED387B"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569CC157"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56B20DC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ED4. La forma en que las plataformas,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presentan los productos hace que la experiencia sea atractiva.</w:t>
      </w:r>
    </w:p>
    <w:p w14:paraId="07C79012" w14:textId="77777777" w:rsidR="00653A61" w:rsidRDefault="00653A61">
      <w:pPr>
        <w:jc w:val="both"/>
        <w:rPr>
          <w:rFonts w:ascii="Arial" w:hAnsi="Arial" w:cs="Arial"/>
          <w:color w:val="2E74B5" w:themeColor="accent1" w:themeShade="BF"/>
          <w:sz w:val="24"/>
          <w:szCs w:val="24"/>
        </w:rPr>
      </w:pPr>
    </w:p>
    <w:p w14:paraId="0DEEB0EC"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SECCIÓN 5: Comportamiento de compra</w:t>
      </w:r>
    </w:p>
    <w:p w14:paraId="190611EC" w14:textId="77777777" w:rsidR="00653A61" w:rsidRDefault="00653A61">
      <w:pPr>
        <w:jc w:val="both"/>
        <w:rPr>
          <w:rFonts w:ascii="Arial" w:hAnsi="Arial" w:cs="Arial"/>
          <w:color w:val="2E74B5" w:themeColor="accent1" w:themeShade="BF"/>
          <w:sz w:val="24"/>
          <w:szCs w:val="24"/>
        </w:rPr>
      </w:pPr>
    </w:p>
    <w:p w14:paraId="18EA4974"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CC1. Compro productos de moda en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con frecuencia.</w:t>
      </w:r>
    </w:p>
    <w:p w14:paraId="6F109BE3"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6B394EDF"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1093A12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 xml:space="preserve">CC2. Es probable que continúe comprando en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en el futuro.</w:t>
      </w:r>
    </w:p>
    <w:p w14:paraId="0A99E415"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4CCFB2B9"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57084CC8"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CC3. Prefiero comprar moda a través de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en lugar de comprar en una marca local.</w:t>
      </w:r>
    </w:p>
    <w:p w14:paraId="74766BDF"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7E153455"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0E85977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CC4.</w:t>
      </w:r>
      <w:r>
        <w:t xml:space="preserve"> </w:t>
      </w:r>
      <w:r>
        <w:rPr>
          <w:rFonts w:ascii="Arial" w:hAnsi="Arial" w:cs="Arial"/>
          <w:color w:val="2E74B5" w:themeColor="accent1" w:themeShade="BF"/>
          <w:sz w:val="24"/>
          <w:szCs w:val="24"/>
        </w:rPr>
        <w:t xml:space="preserve">Cuando necesito ropa o accesorios, las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suelen ser de mis primeras opciones de compra.</w:t>
      </w:r>
    </w:p>
    <w:p w14:paraId="361184E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5925753A"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0D0F18F3" w14:textId="77777777" w:rsidR="00653A61" w:rsidRDefault="00653A61">
      <w:pPr>
        <w:jc w:val="both"/>
        <w:rPr>
          <w:rFonts w:ascii="Arial" w:hAnsi="Arial" w:cs="Arial"/>
          <w:color w:val="2E74B5" w:themeColor="accent1" w:themeShade="BF"/>
          <w:sz w:val="24"/>
          <w:szCs w:val="24"/>
        </w:rPr>
      </w:pPr>
    </w:p>
    <w:p w14:paraId="173CE4D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SECCIÓN 6: Preferencia por marcas locales</w:t>
      </w:r>
    </w:p>
    <w:p w14:paraId="1622E4CB" w14:textId="77777777" w:rsidR="00653A61" w:rsidRDefault="00653A61">
      <w:pPr>
        <w:jc w:val="both"/>
        <w:rPr>
          <w:rFonts w:ascii="Arial" w:hAnsi="Arial" w:cs="Arial"/>
          <w:color w:val="2E74B5" w:themeColor="accent1" w:themeShade="BF"/>
          <w:sz w:val="24"/>
          <w:szCs w:val="24"/>
        </w:rPr>
      </w:pPr>
    </w:p>
    <w:p w14:paraId="53B0026E"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PL1. Prefiero comprar productos de moda en plataformas,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 antes que en marcas locales.</w:t>
      </w:r>
    </w:p>
    <w:p w14:paraId="225A2921"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77E8916E"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30201CE0"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 xml:space="preserve">PL2. Es poco probable que elija marcas locales de moda en comparación con plataformas digitales, como </w:t>
      </w:r>
      <w:r>
        <w:rPr>
          <w:rFonts w:ascii="Arial" w:hAnsi="Arial" w:cs="Arial"/>
          <w:i/>
          <w:color w:val="2E74B5" w:themeColor="accent1" w:themeShade="BF"/>
          <w:sz w:val="24"/>
          <w:szCs w:val="24"/>
        </w:rPr>
        <w:t>Temu</w:t>
      </w:r>
      <w:r>
        <w:rPr>
          <w:rFonts w:ascii="Arial" w:hAnsi="Arial" w:cs="Arial"/>
          <w:color w:val="2E74B5" w:themeColor="accent1" w:themeShade="BF"/>
          <w:sz w:val="24"/>
          <w:szCs w:val="24"/>
        </w:rPr>
        <w:t xml:space="preserve">, </w:t>
      </w:r>
      <w:r>
        <w:rPr>
          <w:rFonts w:ascii="Arial" w:hAnsi="Arial" w:cs="Arial"/>
          <w:i/>
          <w:color w:val="2E74B5" w:themeColor="accent1" w:themeShade="BF"/>
          <w:sz w:val="24"/>
          <w:szCs w:val="24"/>
        </w:rPr>
        <w:t>SHEIN</w:t>
      </w:r>
      <w:r>
        <w:rPr>
          <w:rFonts w:ascii="Arial" w:hAnsi="Arial" w:cs="Arial"/>
          <w:color w:val="2E74B5" w:themeColor="accent1" w:themeShade="BF"/>
          <w:sz w:val="24"/>
          <w:szCs w:val="24"/>
        </w:rPr>
        <w:t xml:space="preserve"> u otras similares.</w:t>
      </w:r>
    </w:p>
    <w:p w14:paraId="5B009736" w14:textId="77777777" w:rsidR="00653A61" w:rsidRDefault="00563720">
      <w:pPr>
        <w:jc w:val="both"/>
        <w:rPr>
          <w:rFonts w:ascii="Arial" w:hAnsi="Arial" w:cs="Arial"/>
          <w:color w:val="2E74B5" w:themeColor="accent1" w:themeShade="BF"/>
          <w:sz w:val="24"/>
          <w:szCs w:val="24"/>
        </w:rPr>
      </w:pPr>
      <w:r>
        <w:rPr>
          <w:rFonts w:ascii="Arial" w:hAnsi="Arial" w:cs="Arial"/>
          <w:color w:val="2E74B5" w:themeColor="accent1" w:themeShade="BF"/>
          <w:sz w:val="24"/>
          <w:szCs w:val="24"/>
        </w:rPr>
        <w:t>Respuestas:</w:t>
      </w:r>
    </w:p>
    <w:p w14:paraId="40B5EAA7" w14:textId="77777777" w:rsidR="00653A61" w:rsidRDefault="00563720">
      <w:pPr>
        <w:jc w:val="both"/>
        <w:rPr>
          <w:rFonts w:ascii="Arial" w:hAnsi="Arial" w:cs="Arial"/>
          <w:color w:val="2E74B5" w:themeColor="accent1" w:themeShade="BF"/>
          <w:sz w:val="24"/>
          <w:szCs w:val="24"/>
        </w:rPr>
      </w:pP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1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2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3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4 </w:t>
      </w:r>
      <w:r>
        <w:rPr>
          <w:rFonts w:ascii="Segoe UI Symbol" w:hAnsi="Segoe UI Symbol" w:cs="Segoe UI Symbol"/>
          <w:color w:val="2E74B5" w:themeColor="accent1" w:themeShade="BF"/>
          <w:sz w:val="24"/>
          <w:szCs w:val="24"/>
        </w:rPr>
        <w:t>☐</w:t>
      </w:r>
      <w:r>
        <w:rPr>
          <w:rFonts w:ascii="Arial" w:hAnsi="Arial" w:cs="Arial"/>
          <w:color w:val="2E74B5" w:themeColor="accent1" w:themeShade="BF"/>
          <w:sz w:val="24"/>
          <w:szCs w:val="24"/>
        </w:rPr>
        <w:t xml:space="preserve"> 5</w:t>
      </w:r>
    </w:p>
    <w:p w14:paraId="1DF7E20F" w14:textId="77777777" w:rsidR="00653A61" w:rsidRDefault="00653A61">
      <w:pPr>
        <w:jc w:val="both"/>
        <w:rPr>
          <w:rFonts w:ascii="Arial" w:hAnsi="Arial" w:cs="Arial"/>
          <w:color w:val="2E74B5" w:themeColor="accent1" w:themeShade="BF"/>
          <w:sz w:val="24"/>
          <w:szCs w:val="24"/>
        </w:rPr>
      </w:pPr>
    </w:p>
    <w:p w14:paraId="49A827AD" w14:textId="77777777" w:rsidR="00653A61" w:rsidRDefault="00563720">
      <w:pPr>
        <w:jc w:val="center"/>
        <w:rPr>
          <w:rFonts w:ascii="Arial" w:hAnsi="Arial" w:cs="Arial"/>
          <w:color w:val="2E74B5" w:themeColor="accent1" w:themeShade="BF"/>
          <w:sz w:val="24"/>
          <w:szCs w:val="24"/>
        </w:rPr>
      </w:pPr>
      <w:r>
        <w:rPr>
          <w:rFonts w:ascii="Arial" w:hAnsi="Arial" w:cs="Arial"/>
          <w:color w:val="2E74B5" w:themeColor="accent1" w:themeShade="BF"/>
          <w:sz w:val="24"/>
          <w:szCs w:val="24"/>
        </w:rPr>
        <w:t>¡GRACIAS POR TU COLABORACIÓN!</w:t>
      </w:r>
    </w:p>
    <w:p w14:paraId="5306E399" w14:textId="77777777" w:rsidR="00653A61" w:rsidRDefault="00653A61">
      <w:pPr>
        <w:jc w:val="both"/>
        <w:rPr>
          <w:rFonts w:ascii="Arial" w:hAnsi="Arial" w:cs="Arial"/>
          <w:color w:val="2E74B5" w:themeColor="accent1" w:themeShade="BF"/>
          <w:sz w:val="24"/>
          <w:szCs w:val="24"/>
        </w:rPr>
      </w:pPr>
    </w:p>
    <w:p w14:paraId="4A5656EC" w14:textId="77777777" w:rsidR="00653A61" w:rsidRDefault="00653A61">
      <w:pPr>
        <w:jc w:val="both"/>
        <w:rPr>
          <w:rFonts w:ascii="Arial" w:hAnsi="Arial" w:cs="Arial"/>
          <w:color w:val="2E74B5" w:themeColor="accent1" w:themeShade="BF"/>
          <w:sz w:val="24"/>
          <w:szCs w:val="24"/>
        </w:rPr>
      </w:pPr>
    </w:p>
    <w:p w14:paraId="6D517C9D" w14:textId="77777777" w:rsidR="00653A61" w:rsidRDefault="00653A61">
      <w:pPr>
        <w:jc w:val="both"/>
        <w:rPr>
          <w:rFonts w:ascii="Arial" w:hAnsi="Arial" w:cs="Arial"/>
          <w:color w:val="2E74B5" w:themeColor="accent1" w:themeShade="BF"/>
          <w:sz w:val="24"/>
          <w:szCs w:val="24"/>
        </w:rPr>
      </w:pPr>
    </w:p>
    <w:p w14:paraId="6A268DEA" w14:textId="77777777" w:rsidR="00653A61" w:rsidRDefault="00563720">
      <w:pPr>
        <w:jc w:val="both"/>
        <w:rPr>
          <w:rFonts w:ascii="Arial" w:hAnsi="Arial" w:cs="Arial"/>
          <w:color w:val="2E74B5" w:themeColor="accent1" w:themeShade="BF"/>
          <w:sz w:val="24"/>
          <w:szCs w:val="24"/>
        </w:rPr>
      </w:pPr>
      <w:r>
        <w:br w:type="page"/>
      </w:r>
    </w:p>
    <w:p w14:paraId="641F4603" w14:textId="77777777" w:rsidR="00653A61" w:rsidRDefault="00563720">
      <w:pPr>
        <w:rPr>
          <w:rFonts w:ascii="Arial" w:hAnsi="Arial" w:cs="Arial"/>
          <w:color w:val="2E74B5" w:themeColor="accent1" w:themeShade="BF"/>
          <w:sz w:val="24"/>
          <w:szCs w:val="24"/>
        </w:rPr>
      </w:pPr>
      <w:r>
        <w:rPr>
          <w:rFonts w:ascii="Arial" w:hAnsi="Arial" w:cs="Arial"/>
          <w:b/>
          <w:color w:val="2E74B5" w:themeColor="accent1" w:themeShade="BF"/>
        </w:rPr>
        <w:lastRenderedPageBreak/>
        <w:t>REFERENCIAS</w:t>
      </w:r>
    </w:p>
    <w:p w14:paraId="1ECDD289" w14:textId="77777777" w:rsidR="00653A61" w:rsidRDefault="0067062A">
      <w:pPr>
        <w:ind w:hanging="480"/>
        <w:rPr>
          <w:rFonts w:ascii="Arial" w:eastAsia="Times New Roman" w:hAnsi="Arial" w:cs="Arial"/>
          <w:color w:val="2E74B5" w:themeColor="accent1" w:themeShade="BF"/>
          <w:sz w:val="24"/>
          <w:szCs w:val="24"/>
          <w:lang w:val="en-US"/>
        </w:rPr>
      </w:pPr>
      <w:sdt>
        <w:sdtPr>
          <w:tag w:val="MENDELEY_BIBLIOGRAPHY"/>
          <w:id w:val="1497695058"/>
          <w:placeholder>
            <w:docPart w:val="FEC99A0E6D6541B3882CCED5A581597E"/>
          </w:placeholder>
          <w:text/>
        </w:sdtPr>
        <w:sdtEndPr/>
        <w:sdtContent>
          <w:r w:rsidR="00563720">
            <w:rPr>
              <w:rFonts w:ascii="Arial" w:eastAsia="Times New Roman" w:hAnsi="Arial" w:cs="Arial"/>
              <w:color w:val="2E74B5" w:themeColor="accent1" w:themeShade="BF"/>
              <w:sz w:val="24"/>
              <w:lang w:val="en-US"/>
            </w:rPr>
            <w:t xml:space="preserve">Achar, C., So, J., Agrawal, N., &amp; </w:t>
          </w:r>
          <w:proofErr w:type="spellStart"/>
          <w:r w:rsidR="00563720">
            <w:rPr>
              <w:rFonts w:ascii="Arial" w:eastAsia="Times New Roman" w:hAnsi="Arial" w:cs="Arial"/>
              <w:color w:val="2E74B5" w:themeColor="accent1" w:themeShade="BF"/>
              <w:sz w:val="24"/>
              <w:lang w:val="en-US"/>
            </w:rPr>
            <w:t>Duhachek</w:t>
          </w:r>
          <w:proofErr w:type="spellEnd"/>
          <w:r w:rsidR="00563720">
            <w:rPr>
              <w:rFonts w:ascii="Arial" w:eastAsia="Times New Roman" w:hAnsi="Arial" w:cs="Arial"/>
              <w:color w:val="2E74B5" w:themeColor="accent1" w:themeShade="BF"/>
              <w:sz w:val="24"/>
              <w:lang w:val="en-US"/>
            </w:rPr>
            <w:t xml:space="preserve">, A. (2016). What we feel and why we buy: the influence of emotions on consumer decision-making. </w:t>
          </w:r>
          <w:r w:rsidR="00563720">
            <w:rPr>
              <w:rFonts w:ascii="Arial" w:eastAsia="Times New Roman" w:hAnsi="Arial" w:cs="Arial"/>
              <w:i/>
              <w:iCs/>
              <w:color w:val="2E74B5" w:themeColor="accent1" w:themeShade="BF"/>
              <w:sz w:val="24"/>
              <w:lang w:val="en-US"/>
            </w:rPr>
            <w:t>Current Opinion in Psychology</w:t>
          </w:r>
          <w:r w:rsidR="00563720">
            <w:rPr>
              <w:rFonts w:ascii="Arial" w:eastAsia="Times New Roman" w:hAnsi="Arial" w:cs="Arial"/>
              <w:color w:val="2E74B5" w:themeColor="accent1" w:themeShade="BF"/>
              <w:sz w:val="24"/>
              <w:lang w:val="en-US"/>
            </w:rPr>
            <w:t xml:space="preserve">, </w:t>
          </w:r>
          <w:r w:rsidR="00563720">
            <w:rPr>
              <w:rFonts w:ascii="Arial" w:eastAsia="Times New Roman" w:hAnsi="Arial" w:cs="Arial"/>
              <w:i/>
              <w:iCs/>
              <w:color w:val="2E74B5" w:themeColor="accent1" w:themeShade="BF"/>
              <w:sz w:val="24"/>
              <w:lang w:val="en-US"/>
            </w:rPr>
            <w:t>10</w:t>
          </w:r>
          <w:r w:rsidR="00563720">
            <w:rPr>
              <w:rFonts w:ascii="Arial" w:eastAsia="Times New Roman" w:hAnsi="Arial" w:cs="Arial"/>
              <w:color w:val="2E74B5" w:themeColor="accent1" w:themeShade="BF"/>
              <w:sz w:val="24"/>
              <w:lang w:val="en-US"/>
            </w:rPr>
            <w:t>, 166–170. https://doi.org/10.1016/j.copsyc.2016.01.009</w:t>
          </w:r>
        </w:sdtContent>
      </w:sdt>
    </w:p>
    <w:p w14:paraId="59128565" w14:textId="77777777" w:rsidR="00653A61" w:rsidRDefault="00563720">
      <w:pPr>
        <w:ind w:hanging="480"/>
        <w:rPr>
          <w:rFonts w:ascii="Arial" w:eastAsia="Times New Roman" w:hAnsi="Arial" w:cs="Arial"/>
          <w:color w:val="2E74B5" w:themeColor="accent1" w:themeShade="BF"/>
          <w:sz w:val="24"/>
          <w:lang w:val="en-US"/>
        </w:rPr>
      </w:pPr>
      <w:proofErr w:type="spellStart"/>
      <w:r>
        <w:rPr>
          <w:rFonts w:ascii="Arial" w:eastAsia="Times New Roman" w:hAnsi="Arial" w:cs="Arial"/>
          <w:color w:val="2E74B5" w:themeColor="accent1" w:themeShade="BF"/>
          <w:sz w:val="24"/>
          <w:lang w:val="en-US"/>
        </w:rPr>
        <w:t>Antriksh</w:t>
      </w:r>
      <w:proofErr w:type="spellEnd"/>
      <w:r>
        <w:rPr>
          <w:rFonts w:ascii="Arial" w:eastAsia="Times New Roman" w:hAnsi="Arial" w:cs="Arial"/>
          <w:color w:val="2E74B5" w:themeColor="accent1" w:themeShade="BF"/>
          <w:sz w:val="24"/>
          <w:lang w:val="en-US"/>
        </w:rPr>
        <w:t xml:space="preserve">, P. (2024, December). </w:t>
      </w:r>
      <w:r>
        <w:rPr>
          <w:rFonts w:ascii="Arial" w:eastAsia="Times New Roman" w:hAnsi="Arial" w:cs="Arial"/>
          <w:i/>
          <w:iCs/>
          <w:color w:val="2E74B5" w:themeColor="accent1" w:themeShade="BF"/>
          <w:sz w:val="24"/>
        </w:rPr>
        <w:t>Informe de tamaño de mercado de moda rápida, participación y crecimiento [2030]</w:t>
      </w:r>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lang w:val="en-US"/>
        </w:rPr>
        <w:t>KingsResearch</w:t>
      </w:r>
      <w:proofErr w:type="spellEnd"/>
      <w:r>
        <w:rPr>
          <w:rFonts w:ascii="Arial" w:eastAsia="Times New Roman" w:hAnsi="Arial" w:cs="Arial"/>
          <w:color w:val="2E74B5" w:themeColor="accent1" w:themeShade="BF"/>
          <w:sz w:val="24"/>
          <w:lang w:val="en-US"/>
        </w:rPr>
        <w:t xml:space="preserve">. </w:t>
      </w:r>
      <w:hyperlink r:id="rId10">
        <w:r w:rsidR="00653A61">
          <w:rPr>
            <w:rStyle w:val="Hipervnculo"/>
            <w:rFonts w:ascii="Arial" w:eastAsia="Times New Roman" w:hAnsi="Arial" w:cs="Arial"/>
            <w:sz w:val="24"/>
            <w:lang w:val="en-US"/>
          </w:rPr>
          <w:t>https://www.kingsresearch.com/es/fast-fashion-market-136</w:t>
        </w:r>
      </w:hyperlink>
    </w:p>
    <w:p w14:paraId="3694534D"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rPr>
        <w:t xml:space="preserve">Bernal-Durán, C. (2025, June 13). </w:t>
      </w:r>
      <w:r>
        <w:rPr>
          <w:rFonts w:ascii="Arial" w:eastAsia="Times New Roman" w:hAnsi="Arial" w:cs="Arial"/>
          <w:i/>
          <w:iCs/>
          <w:color w:val="2E74B5" w:themeColor="accent1" w:themeShade="BF"/>
          <w:sz w:val="24"/>
        </w:rPr>
        <w:t>Comerciantes del Gran San, en Bogotá, alertan sobre riesgo que representan Temu y Shein para sus negocios</w:t>
      </w:r>
      <w:r>
        <w:rPr>
          <w:rFonts w:ascii="Arial" w:eastAsia="Times New Roman" w:hAnsi="Arial" w:cs="Arial"/>
          <w:color w:val="2E74B5" w:themeColor="accent1" w:themeShade="BF"/>
          <w:sz w:val="24"/>
        </w:rPr>
        <w:t xml:space="preserve">. Forbes Colombia. </w:t>
      </w:r>
      <w:hyperlink r:id="rId11" w:tgtFrame="_new">
        <w:r w:rsidR="00653A61">
          <w:rPr>
            <w:rStyle w:val="Hipervnculo"/>
            <w:rFonts w:ascii="Arial" w:eastAsia="Times New Roman" w:hAnsi="Arial" w:cs="Arial"/>
            <w:sz w:val="24"/>
          </w:rPr>
          <w:t>https://forbes.co/2025/06/13/negocios/comerciantes-del-gran-san-en-bogota-alertan-sobre-riesgo-que-representan-temu-y-shein-para-sus-negocios</w:t>
        </w:r>
      </w:hyperlink>
    </w:p>
    <w:p w14:paraId="734C821E"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DANE. (2024). </w:t>
      </w:r>
      <w:r>
        <w:rPr>
          <w:rFonts w:ascii="Arial" w:eastAsia="Times New Roman" w:hAnsi="Arial" w:cs="Arial"/>
          <w:i/>
          <w:iCs/>
          <w:color w:val="2E74B5" w:themeColor="accent1" w:themeShade="BF"/>
          <w:sz w:val="24"/>
        </w:rPr>
        <w:t>Boletín técnico Mercado laboral de la Juventud</w:t>
      </w:r>
      <w:r>
        <w:rPr>
          <w:rFonts w:ascii="Arial" w:eastAsia="Times New Roman" w:hAnsi="Arial" w:cs="Arial"/>
          <w:color w:val="2E74B5" w:themeColor="accent1" w:themeShade="BF"/>
          <w:sz w:val="24"/>
        </w:rPr>
        <w:t>.</w:t>
      </w:r>
    </w:p>
    <w:p w14:paraId="5928AE3C"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Duque Holguín, M., &amp; Ramos Torres, C. M. (2023). </w:t>
      </w:r>
      <w:r>
        <w:rPr>
          <w:rFonts w:ascii="Arial" w:eastAsia="Times New Roman" w:hAnsi="Arial" w:cs="Arial"/>
          <w:i/>
          <w:iCs/>
          <w:color w:val="2E74B5" w:themeColor="accent1" w:themeShade="BF"/>
          <w:sz w:val="24"/>
        </w:rPr>
        <w:t>Impacto del marketing emocional en la toma de decisiones del consumidor: una revisión sistemática de la literatura</w:t>
      </w:r>
      <w:r>
        <w:rPr>
          <w:rFonts w:ascii="Arial" w:eastAsia="Times New Roman" w:hAnsi="Arial" w:cs="Arial"/>
          <w:color w:val="2E74B5" w:themeColor="accent1" w:themeShade="BF"/>
          <w:sz w:val="24"/>
        </w:rPr>
        <w:t xml:space="preserve">. Trabajo de grado, Tecnológico de Antioquia Institución Universitaria. Repositorio Institucional del Tecnológico de Antioquia. </w:t>
      </w:r>
      <w:hyperlink r:id="rId12" w:tgtFrame="_new">
        <w:r w:rsidR="00653A61">
          <w:rPr>
            <w:rStyle w:val="Hipervnculo"/>
            <w:rFonts w:ascii="Arial" w:eastAsia="Times New Roman" w:hAnsi="Arial" w:cs="Arial"/>
            <w:sz w:val="24"/>
          </w:rPr>
          <w:t>https://dspace.tdea.edu.co/handle/tdea/3197</w:t>
        </w:r>
      </w:hyperlink>
    </w:p>
    <w:p w14:paraId="08B11F06"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lang w:val="en-US"/>
        </w:rPr>
        <w:t xml:space="preserve">E-Commerce Database. (2024, October). </w:t>
      </w:r>
      <w:proofErr w:type="spellStart"/>
      <w:r>
        <w:rPr>
          <w:rFonts w:ascii="Arial" w:eastAsia="Times New Roman" w:hAnsi="Arial" w:cs="Arial"/>
          <w:i/>
          <w:iCs/>
          <w:color w:val="2E74B5" w:themeColor="accent1" w:themeShade="BF"/>
          <w:sz w:val="24"/>
          <w:lang w:val="en-US"/>
        </w:rPr>
        <w:t>Temu</w:t>
      </w:r>
      <w:proofErr w:type="spellEnd"/>
      <w:r>
        <w:rPr>
          <w:rFonts w:ascii="Arial" w:eastAsia="Times New Roman" w:hAnsi="Arial" w:cs="Arial"/>
          <w:i/>
          <w:iCs/>
          <w:color w:val="2E74B5" w:themeColor="accent1" w:themeShade="BF"/>
          <w:sz w:val="24"/>
          <w:lang w:val="en-US"/>
        </w:rPr>
        <w:t xml:space="preserve"> business model 2024: </w:t>
      </w:r>
      <w:proofErr w:type="spellStart"/>
      <w:r>
        <w:rPr>
          <w:rFonts w:ascii="Arial" w:eastAsia="Times New Roman" w:hAnsi="Arial" w:cs="Arial"/>
          <w:i/>
          <w:iCs/>
          <w:color w:val="2E74B5" w:themeColor="accent1" w:themeShade="BF"/>
          <w:sz w:val="24"/>
          <w:lang w:val="en-US"/>
        </w:rPr>
        <w:t>Temu’s</w:t>
      </w:r>
      <w:proofErr w:type="spellEnd"/>
      <w:r>
        <w:rPr>
          <w:rFonts w:ascii="Arial" w:eastAsia="Times New Roman" w:hAnsi="Arial" w:cs="Arial"/>
          <w:i/>
          <w:iCs/>
          <w:color w:val="2E74B5" w:themeColor="accent1" w:themeShade="BF"/>
          <w:sz w:val="24"/>
          <w:lang w:val="en-US"/>
        </w:rPr>
        <w:t xml:space="preserve"> marketing strategy &amp; target audience</w:t>
      </w:r>
      <w:r>
        <w:rPr>
          <w:rFonts w:ascii="Arial" w:eastAsia="Times New Roman" w:hAnsi="Arial" w:cs="Arial"/>
          <w:color w:val="2E74B5" w:themeColor="accent1" w:themeShade="BF"/>
          <w:sz w:val="24"/>
          <w:lang w:val="en-US"/>
        </w:rPr>
        <w:t xml:space="preserve">. </w:t>
      </w:r>
      <w:r>
        <w:rPr>
          <w:rFonts w:ascii="Arial" w:eastAsia="Times New Roman" w:hAnsi="Arial" w:cs="Arial"/>
          <w:color w:val="2E74B5" w:themeColor="accent1" w:themeShade="BF"/>
          <w:sz w:val="24"/>
        </w:rPr>
        <w:t xml:space="preserve">E-Commerce </w:t>
      </w:r>
      <w:proofErr w:type="spellStart"/>
      <w:r>
        <w:rPr>
          <w:rFonts w:ascii="Arial" w:eastAsia="Times New Roman" w:hAnsi="Arial" w:cs="Arial"/>
          <w:color w:val="2E74B5" w:themeColor="accent1" w:themeShade="BF"/>
          <w:sz w:val="24"/>
        </w:rPr>
        <w:t>Database</w:t>
      </w:r>
      <w:proofErr w:type="spellEnd"/>
      <w:r>
        <w:rPr>
          <w:rFonts w:ascii="Arial" w:eastAsia="Times New Roman" w:hAnsi="Arial" w:cs="Arial"/>
          <w:color w:val="2E74B5" w:themeColor="accent1" w:themeShade="BF"/>
          <w:sz w:val="24"/>
        </w:rPr>
        <w:t>. https://ecdb.com/blog/</w:t>
      </w:r>
      <w:r>
        <w:rPr>
          <w:rFonts w:ascii="Arial" w:eastAsia="Times New Roman" w:hAnsi="Arial" w:cs="Arial"/>
          <w:i/>
          <w:color w:val="2E74B5" w:themeColor="accent1" w:themeShade="BF"/>
          <w:sz w:val="24"/>
        </w:rPr>
        <w:t>temu</w:t>
      </w:r>
      <w:r>
        <w:rPr>
          <w:rFonts w:ascii="Arial" w:eastAsia="Times New Roman" w:hAnsi="Arial" w:cs="Arial"/>
          <w:color w:val="2E74B5" w:themeColor="accent1" w:themeShade="BF"/>
          <w:sz w:val="24"/>
        </w:rPr>
        <w:t>s-strategy-to-compete-in-the-realm-of-ultra-fast-ecommerce/4439</w:t>
      </w:r>
    </w:p>
    <w:p w14:paraId="0DFFD9E3"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Garcés-Giraldo, L. F., Bermeo-Giraldo, C., Valencia-Arias, A., &amp; Benjumea-Arias, M. L. (2022). Factores determinantes en la decisión de compra a través de medios virtuales en </w:t>
      </w:r>
      <w:proofErr w:type="spellStart"/>
      <w:r>
        <w:rPr>
          <w:rFonts w:ascii="Arial" w:eastAsia="Times New Roman" w:hAnsi="Arial" w:cs="Arial"/>
          <w:color w:val="2E74B5" w:themeColor="accent1" w:themeShade="BF"/>
          <w:sz w:val="24"/>
        </w:rPr>
        <w:t>millennials</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Determining</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factors</w:t>
      </w:r>
      <w:proofErr w:type="spellEnd"/>
      <w:r>
        <w:rPr>
          <w:rFonts w:ascii="Arial" w:eastAsia="Times New Roman" w:hAnsi="Arial" w:cs="Arial"/>
          <w:color w:val="2E74B5" w:themeColor="accent1" w:themeShade="BF"/>
          <w:sz w:val="24"/>
        </w:rPr>
        <w:t xml:space="preserve"> in </w:t>
      </w:r>
      <w:proofErr w:type="spellStart"/>
      <w:r>
        <w:rPr>
          <w:rFonts w:ascii="Arial" w:eastAsia="Times New Roman" w:hAnsi="Arial" w:cs="Arial"/>
          <w:color w:val="2E74B5" w:themeColor="accent1" w:themeShade="BF"/>
          <w:sz w:val="24"/>
        </w:rPr>
        <w:t>purchase</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decision</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through</w:t>
      </w:r>
      <w:proofErr w:type="spellEnd"/>
      <w:r>
        <w:rPr>
          <w:rFonts w:ascii="Arial" w:eastAsia="Times New Roman" w:hAnsi="Arial" w:cs="Arial"/>
          <w:color w:val="2E74B5" w:themeColor="accent1" w:themeShade="BF"/>
          <w:sz w:val="24"/>
        </w:rPr>
        <w:t xml:space="preserve"> virtual media in </w:t>
      </w:r>
      <w:proofErr w:type="spellStart"/>
      <w:r>
        <w:rPr>
          <w:rFonts w:ascii="Arial" w:eastAsia="Times New Roman" w:hAnsi="Arial" w:cs="Arial"/>
          <w:color w:val="2E74B5" w:themeColor="accent1" w:themeShade="BF"/>
          <w:sz w:val="24"/>
        </w:rPr>
        <w:t>millennials</w:t>
      </w:r>
      <w:proofErr w:type="spellEnd"/>
      <w:r>
        <w:rPr>
          <w:rFonts w:ascii="Arial" w:eastAsia="Times New Roman" w:hAnsi="Arial" w:cs="Arial"/>
          <w:color w:val="2E74B5" w:themeColor="accent1" w:themeShade="BF"/>
          <w:sz w:val="24"/>
        </w:rPr>
        <w:t xml:space="preserve">. </w:t>
      </w:r>
      <w:r>
        <w:rPr>
          <w:rFonts w:ascii="Arial" w:eastAsia="Times New Roman" w:hAnsi="Arial" w:cs="Arial"/>
          <w:i/>
          <w:iCs/>
          <w:color w:val="2E74B5" w:themeColor="accent1" w:themeShade="BF"/>
          <w:sz w:val="24"/>
        </w:rPr>
        <w:t>Información Tecnológica</w:t>
      </w:r>
      <w:r>
        <w:rPr>
          <w:rFonts w:ascii="Arial" w:eastAsia="Times New Roman" w:hAnsi="Arial" w:cs="Arial"/>
          <w:color w:val="2E74B5" w:themeColor="accent1" w:themeShade="BF"/>
          <w:sz w:val="24"/>
        </w:rPr>
        <w:t xml:space="preserve">, </w:t>
      </w:r>
      <w:r>
        <w:rPr>
          <w:rFonts w:ascii="Arial" w:eastAsia="Times New Roman" w:hAnsi="Arial" w:cs="Arial"/>
          <w:i/>
          <w:iCs/>
          <w:color w:val="2E74B5" w:themeColor="accent1" w:themeShade="BF"/>
          <w:sz w:val="24"/>
        </w:rPr>
        <w:t>33</w:t>
      </w:r>
      <w:r>
        <w:rPr>
          <w:rFonts w:ascii="Arial" w:eastAsia="Times New Roman" w:hAnsi="Arial" w:cs="Arial"/>
          <w:color w:val="2E74B5" w:themeColor="accent1" w:themeShade="BF"/>
          <w:sz w:val="24"/>
        </w:rPr>
        <w:t>(5), 71–80. https://doi.org/10.4067/S0718-07642022000500071</w:t>
      </w:r>
    </w:p>
    <w:p w14:paraId="2B568F7D"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Hair, J. F., Black, W. C., Babin, B. J., &amp; Anderson, R. E. (2019). </w:t>
      </w:r>
      <w:proofErr w:type="spellStart"/>
      <w:r>
        <w:rPr>
          <w:rFonts w:ascii="Arial" w:eastAsia="Times New Roman" w:hAnsi="Arial" w:cs="Arial"/>
          <w:i/>
          <w:iCs/>
          <w:color w:val="2E74B5" w:themeColor="accent1" w:themeShade="BF"/>
          <w:sz w:val="24"/>
        </w:rPr>
        <w:t>Multivariate</w:t>
      </w:r>
      <w:proofErr w:type="spellEnd"/>
      <w:r>
        <w:rPr>
          <w:rFonts w:ascii="Arial" w:eastAsia="Times New Roman" w:hAnsi="Arial" w:cs="Arial"/>
          <w:i/>
          <w:iCs/>
          <w:color w:val="2E74B5" w:themeColor="accent1" w:themeShade="BF"/>
          <w:sz w:val="24"/>
        </w:rPr>
        <w:t xml:space="preserve"> data </w:t>
      </w:r>
      <w:proofErr w:type="spellStart"/>
      <w:r>
        <w:rPr>
          <w:rFonts w:ascii="Arial" w:eastAsia="Times New Roman" w:hAnsi="Arial" w:cs="Arial"/>
          <w:i/>
          <w:iCs/>
          <w:color w:val="2E74B5" w:themeColor="accent1" w:themeShade="BF"/>
          <w:sz w:val="24"/>
        </w:rPr>
        <w:t>analysis</w:t>
      </w:r>
      <w:proofErr w:type="spellEnd"/>
      <w:r>
        <w:rPr>
          <w:rFonts w:ascii="Arial" w:eastAsia="Times New Roman" w:hAnsi="Arial" w:cs="Arial"/>
          <w:color w:val="2E74B5" w:themeColor="accent1" w:themeShade="BF"/>
          <w:sz w:val="24"/>
        </w:rPr>
        <w:t xml:space="preserve"> (8th ed.). Cengage </w:t>
      </w:r>
      <w:proofErr w:type="spellStart"/>
      <w:r>
        <w:rPr>
          <w:rFonts w:ascii="Arial" w:eastAsia="Times New Roman" w:hAnsi="Arial" w:cs="Arial"/>
          <w:color w:val="2E74B5" w:themeColor="accent1" w:themeShade="BF"/>
          <w:sz w:val="24"/>
        </w:rPr>
        <w:t>Learning</w:t>
      </w:r>
      <w:proofErr w:type="spellEnd"/>
      <w:r>
        <w:rPr>
          <w:rFonts w:ascii="Arial" w:eastAsia="Times New Roman" w:hAnsi="Arial" w:cs="Arial"/>
          <w:color w:val="2E74B5" w:themeColor="accent1" w:themeShade="BF"/>
          <w:sz w:val="24"/>
        </w:rPr>
        <w:t>.</w:t>
      </w:r>
    </w:p>
    <w:p w14:paraId="32CB86D4"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Haynes, S. N., Richard, D. C. S., &amp; </w:t>
      </w:r>
      <w:proofErr w:type="spellStart"/>
      <w:r>
        <w:rPr>
          <w:rFonts w:ascii="Arial" w:eastAsia="Times New Roman" w:hAnsi="Arial" w:cs="Arial"/>
          <w:color w:val="2E74B5" w:themeColor="accent1" w:themeShade="BF"/>
          <w:sz w:val="24"/>
        </w:rPr>
        <w:t>Kubany</w:t>
      </w:r>
      <w:proofErr w:type="spellEnd"/>
      <w:r>
        <w:rPr>
          <w:rFonts w:ascii="Arial" w:eastAsia="Times New Roman" w:hAnsi="Arial" w:cs="Arial"/>
          <w:color w:val="2E74B5" w:themeColor="accent1" w:themeShade="BF"/>
          <w:sz w:val="24"/>
        </w:rPr>
        <w:t xml:space="preserve">, E. S. (1995). </w:t>
      </w:r>
      <w:r>
        <w:rPr>
          <w:rFonts w:ascii="Arial" w:eastAsia="Times New Roman" w:hAnsi="Arial" w:cs="Arial"/>
          <w:i/>
          <w:iCs/>
          <w:color w:val="2E74B5" w:themeColor="accent1" w:themeShade="BF"/>
          <w:sz w:val="24"/>
        </w:rPr>
        <w:t xml:space="preserve">Content </w:t>
      </w:r>
      <w:proofErr w:type="spellStart"/>
      <w:r>
        <w:rPr>
          <w:rFonts w:ascii="Arial" w:eastAsia="Times New Roman" w:hAnsi="Arial" w:cs="Arial"/>
          <w:i/>
          <w:iCs/>
          <w:color w:val="2E74B5" w:themeColor="accent1" w:themeShade="BF"/>
          <w:sz w:val="24"/>
        </w:rPr>
        <w:t>validity</w:t>
      </w:r>
      <w:proofErr w:type="spellEnd"/>
      <w:r>
        <w:rPr>
          <w:rFonts w:ascii="Arial" w:eastAsia="Times New Roman" w:hAnsi="Arial" w:cs="Arial"/>
          <w:i/>
          <w:iCs/>
          <w:color w:val="2E74B5" w:themeColor="accent1" w:themeShade="BF"/>
          <w:sz w:val="24"/>
        </w:rPr>
        <w:t xml:space="preserve"> in </w:t>
      </w:r>
      <w:proofErr w:type="spellStart"/>
      <w:r>
        <w:rPr>
          <w:rFonts w:ascii="Arial" w:eastAsia="Times New Roman" w:hAnsi="Arial" w:cs="Arial"/>
          <w:i/>
          <w:iCs/>
          <w:color w:val="2E74B5" w:themeColor="accent1" w:themeShade="BF"/>
          <w:sz w:val="24"/>
        </w:rPr>
        <w:t>psychological</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assessment</w:t>
      </w:r>
      <w:proofErr w:type="spellEnd"/>
      <w:r>
        <w:rPr>
          <w:rFonts w:ascii="Arial" w:eastAsia="Times New Roman" w:hAnsi="Arial" w:cs="Arial"/>
          <w:i/>
          <w:iCs/>
          <w:color w:val="2E74B5" w:themeColor="accent1" w:themeShade="BF"/>
          <w:sz w:val="24"/>
        </w:rPr>
        <w:t xml:space="preserve">: A </w:t>
      </w:r>
      <w:proofErr w:type="spellStart"/>
      <w:r>
        <w:rPr>
          <w:rFonts w:ascii="Arial" w:eastAsia="Times New Roman" w:hAnsi="Arial" w:cs="Arial"/>
          <w:i/>
          <w:iCs/>
          <w:color w:val="2E74B5" w:themeColor="accent1" w:themeShade="BF"/>
          <w:sz w:val="24"/>
        </w:rPr>
        <w:t>functional</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approach</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to</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concepts</w:t>
      </w:r>
      <w:proofErr w:type="spellEnd"/>
      <w:r>
        <w:rPr>
          <w:rFonts w:ascii="Arial" w:eastAsia="Times New Roman" w:hAnsi="Arial" w:cs="Arial"/>
          <w:i/>
          <w:iCs/>
          <w:color w:val="2E74B5" w:themeColor="accent1" w:themeShade="BF"/>
          <w:sz w:val="24"/>
        </w:rPr>
        <w:t xml:space="preserve"> and </w:t>
      </w:r>
      <w:proofErr w:type="spellStart"/>
      <w:r>
        <w:rPr>
          <w:rFonts w:ascii="Arial" w:eastAsia="Times New Roman" w:hAnsi="Arial" w:cs="Arial"/>
          <w:i/>
          <w:iCs/>
          <w:color w:val="2E74B5" w:themeColor="accent1" w:themeShade="BF"/>
          <w:sz w:val="24"/>
        </w:rPr>
        <w:t>methods</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Psychological</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Assessment</w:t>
      </w:r>
      <w:proofErr w:type="spellEnd"/>
      <w:r>
        <w:rPr>
          <w:rFonts w:ascii="Arial" w:eastAsia="Times New Roman" w:hAnsi="Arial" w:cs="Arial"/>
          <w:color w:val="2E74B5" w:themeColor="accent1" w:themeShade="BF"/>
          <w:sz w:val="24"/>
        </w:rPr>
        <w:t xml:space="preserve">, 7(3), 238–247. </w:t>
      </w:r>
      <w:hyperlink r:id="rId13" w:tgtFrame="_new">
        <w:r w:rsidR="00653A61">
          <w:rPr>
            <w:rStyle w:val="Hipervnculo"/>
            <w:rFonts w:ascii="Arial" w:eastAsia="Times New Roman" w:hAnsi="Arial" w:cs="Arial"/>
            <w:sz w:val="24"/>
          </w:rPr>
          <w:t>https://doi.org/10.1037/1040-3590.7.3.238</w:t>
        </w:r>
      </w:hyperlink>
    </w:p>
    <w:p w14:paraId="45003361"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rPr>
        <w:t xml:space="preserve">Hellier, P. K., </w:t>
      </w:r>
      <w:proofErr w:type="spellStart"/>
      <w:r>
        <w:rPr>
          <w:rFonts w:ascii="Arial" w:eastAsia="Times New Roman" w:hAnsi="Arial" w:cs="Arial"/>
          <w:color w:val="2E74B5" w:themeColor="accent1" w:themeShade="BF"/>
          <w:sz w:val="24"/>
        </w:rPr>
        <w:t>Geursen</w:t>
      </w:r>
      <w:proofErr w:type="spellEnd"/>
      <w:r>
        <w:rPr>
          <w:rFonts w:ascii="Arial" w:eastAsia="Times New Roman" w:hAnsi="Arial" w:cs="Arial"/>
          <w:color w:val="2E74B5" w:themeColor="accent1" w:themeShade="BF"/>
          <w:sz w:val="24"/>
        </w:rPr>
        <w:t xml:space="preserve">, G. M., </w:t>
      </w:r>
      <w:proofErr w:type="spellStart"/>
      <w:r>
        <w:rPr>
          <w:rFonts w:ascii="Arial" w:eastAsia="Times New Roman" w:hAnsi="Arial" w:cs="Arial"/>
          <w:color w:val="2E74B5" w:themeColor="accent1" w:themeShade="BF"/>
          <w:sz w:val="24"/>
        </w:rPr>
        <w:t>Carr</w:t>
      </w:r>
      <w:proofErr w:type="spellEnd"/>
      <w:r>
        <w:rPr>
          <w:rFonts w:ascii="Arial" w:eastAsia="Times New Roman" w:hAnsi="Arial" w:cs="Arial"/>
          <w:color w:val="2E74B5" w:themeColor="accent1" w:themeShade="BF"/>
          <w:sz w:val="24"/>
        </w:rPr>
        <w:t xml:space="preserve">, R. A., &amp; Rickard, J. A. (2003). </w:t>
      </w:r>
      <w:proofErr w:type="gramStart"/>
      <w:r>
        <w:rPr>
          <w:rFonts w:ascii="Arial" w:eastAsia="Times New Roman" w:hAnsi="Arial" w:cs="Arial"/>
          <w:color w:val="2E74B5" w:themeColor="accent1" w:themeShade="BF"/>
          <w:sz w:val="24"/>
          <w:lang w:val="en-US"/>
        </w:rPr>
        <w:t>Customer</w:t>
      </w:r>
      <w:proofErr w:type="gramEnd"/>
      <w:r>
        <w:rPr>
          <w:rFonts w:ascii="Arial" w:eastAsia="Times New Roman" w:hAnsi="Arial" w:cs="Arial"/>
          <w:color w:val="2E74B5" w:themeColor="accent1" w:themeShade="BF"/>
          <w:sz w:val="24"/>
          <w:lang w:val="en-US"/>
        </w:rPr>
        <w:t xml:space="preserve"> repurchase </w:t>
      </w:r>
      <w:proofErr w:type="spellStart"/>
      <w:r>
        <w:rPr>
          <w:rFonts w:ascii="Arial" w:eastAsia="Times New Roman" w:hAnsi="Arial" w:cs="Arial"/>
          <w:color w:val="2E74B5" w:themeColor="accent1" w:themeShade="BF"/>
          <w:sz w:val="24"/>
          <w:lang w:val="en-US"/>
        </w:rPr>
        <w:t>intentionA</w:t>
      </w:r>
      <w:proofErr w:type="spellEnd"/>
      <w:r>
        <w:rPr>
          <w:rFonts w:ascii="Arial" w:eastAsia="Times New Roman" w:hAnsi="Arial" w:cs="Arial"/>
          <w:color w:val="2E74B5" w:themeColor="accent1" w:themeShade="BF"/>
          <w:sz w:val="24"/>
          <w:lang w:val="en-US"/>
        </w:rPr>
        <w:t xml:space="preserve"> general structural equation model. </w:t>
      </w:r>
      <w:r>
        <w:rPr>
          <w:rFonts w:ascii="Arial" w:eastAsia="Times New Roman" w:hAnsi="Arial" w:cs="Arial"/>
          <w:i/>
          <w:iCs/>
          <w:color w:val="2E74B5" w:themeColor="accent1" w:themeShade="BF"/>
          <w:sz w:val="24"/>
          <w:lang w:val="en-US"/>
        </w:rPr>
        <w:t>European Journal of Marketing</w:t>
      </w:r>
      <w:r>
        <w:rPr>
          <w:rFonts w:ascii="Arial" w:eastAsia="Times New Roman" w:hAnsi="Arial" w:cs="Arial"/>
          <w:color w:val="2E74B5" w:themeColor="accent1" w:themeShade="BF"/>
          <w:sz w:val="24"/>
          <w:lang w:val="en-US"/>
        </w:rPr>
        <w:t xml:space="preserve">, </w:t>
      </w:r>
      <w:r>
        <w:rPr>
          <w:rFonts w:ascii="Arial" w:eastAsia="Times New Roman" w:hAnsi="Arial" w:cs="Arial"/>
          <w:i/>
          <w:iCs/>
          <w:color w:val="2E74B5" w:themeColor="accent1" w:themeShade="BF"/>
          <w:sz w:val="24"/>
          <w:lang w:val="en-US"/>
        </w:rPr>
        <w:t>37</w:t>
      </w:r>
      <w:r>
        <w:rPr>
          <w:rFonts w:ascii="Arial" w:eastAsia="Times New Roman" w:hAnsi="Arial" w:cs="Arial"/>
          <w:color w:val="2E74B5" w:themeColor="accent1" w:themeShade="BF"/>
          <w:sz w:val="24"/>
          <w:lang w:val="en-US"/>
        </w:rPr>
        <w:t>(11–12), 1762–1800. https://doi.org/10.1108/03090560310495456</w:t>
      </w:r>
    </w:p>
    <w:p w14:paraId="33BFEB34"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lastRenderedPageBreak/>
        <w:t xml:space="preserve">Hernández-Sampieri, R., &amp; Mendoza, C. (2020). </w:t>
      </w:r>
      <w:r>
        <w:rPr>
          <w:rFonts w:ascii="Arial" w:eastAsia="Times New Roman" w:hAnsi="Arial" w:cs="Arial"/>
          <w:i/>
          <w:iCs/>
          <w:color w:val="2E74B5" w:themeColor="accent1" w:themeShade="BF"/>
          <w:sz w:val="24"/>
        </w:rPr>
        <w:t>Metodología de la investigación: las rutas cuantitativa, cualitativa y mixta</w:t>
      </w:r>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Mcgraw-hill</w:t>
      </w:r>
      <w:proofErr w:type="spellEnd"/>
      <w:r>
        <w:rPr>
          <w:rFonts w:ascii="Arial" w:eastAsia="Times New Roman" w:hAnsi="Arial" w:cs="Arial"/>
          <w:color w:val="2E74B5" w:themeColor="accent1" w:themeShade="BF"/>
          <w:sz w:val="24"/>
        </w:rPr>
        <w:t xml:space="preserve"> México.</w:t>
      </w:r>
    </w:p>
    <w:p w14:paraId="64AEF0FF"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Hidalgo Torres, I. (2024). </w:t>
      </w:r>
      <w:r>
        <w:rPr>
          <w:rFonts w:ascii="Arial" w:eastAsia="Times New Roman" w:hAnsi="Arial" w:cs="Arial"/>
          <w:i/>
          <w:iCs/>
          <w:color w:val="2E74B5" w:themeColor="accent1" w:themeShade="BF"/>
          <w:sz w:val="24"/>
        </w:rPr>
        <w:t xml:space="preserve">El hiperconsumo en la Generación Z: un análisis de las </w:t>
      </w:r>
      <w:proofErr w:type="spellStart"/>
      <w:r>
        <w:rPr>
          <w:rFonts w:ascii="Arial" w:eastAsia="Times New Roman" w:hAnsi="Arial" w:cs="Arial"/>
          <w:i/>
          <w:iCs/>
          <w:color w:val="2E74B5" w:themeColor="accent1" w:themeShade="BF"/>
          <w:sz w:val="24"/>
        </w:rPr>
        <w:t>microtendencias</w:t>
      </w:r>
      <w:proofErr w:type="spellEnd"/>
      <w:r>
        <w:rPr>
          <w:rFonts w:ascii="Arial" w:eastAsia="Times New Roman" w:hAnsi="Arial" w:cs="Arial"/>
          <w:color w:val="2E74B5" w:themeColor="accent1" w:themeShade="BF"/>
          <w:sz w:val="24"/>
        </w:rPr>
        <w:t xml:space="preserve">. Trabajo de fin de grado, Universidad de Valladolid. </w:t>
      </w:r>
      <w:hyperlink r:id="rId14" w:tgtFrame="_new">
        <w:r w:rsidR="00653A61">
          <w:rPr>
            <w:rStyle w:val="Hipervnculo"/>
            <w:rFonts w:ascii="Arial" w:eastAsia="Times New Roman" w:hAnsi="Arial" w:cs="Arial"/>
            <w:sz w:val="24"/>
          </w:rPr>
          <w:t>https://uvadoc.uva.es/handle/10324/70338</w:t>
        </w:r>
      </w:hyperlink>
    </w:p>
    <w:p w14:paraId="26604EF0" w14:textId="40D06E9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lang w:val="en-US"/>
        </w:rPr>
        <w:t xml:space="preserve">Hwang, J., &amp; </w:t>
      </w:r>
      <w:proofErr w:type="spellStart"/>
      <w:r>
        <w:rPr>
          <w:rFonts w:ascii="Arial" w:eastAsia="Times New Roman" w:hAnsi="Arial" w:cs="Arial"/>
          <w:color w:val="2E74B5" w:themeColor="accent1" w:themeShade="BF"/>
          <w:sz w:val="24"/>
          <w:lang w:val="en-US"/>
        </w:rPr>
        <w:t>Kandampully</w:t>
      </w:r>
      <w:proofErr w:type="spellEnd"/>
      <w:r>
        <w:rPr>
          <w:rFonts w:ascii="Arial" w:eastAsia="Times New Roman" w:hAnsi="Arial" w:cs="Arial"/>
          <w:color w:val="2E74B5" w:themeColor="accent1" w:themeShade="BF"/>
          <w:sz w:val="24"/>
          <w:lang w:val="en-US"/>
        </w:rPr>
        <w:t>, J. (2012). The role of emotional aspects in younger consumer</w:t>
      </w:r>
      <w:r>
        <w:rPr>
          <w:rFonts w:ascii="Cambria Math" w:eastAsia="Times New Roman" w:hAnsi="Cambria Math" w:cs="Cambria Math"/>
          <w:color w:val="2E74B5" w:themeColor="accent1" w:themeShade="BF"/>
          <w:sz w:val="24"/>
          <w:lang w:val="en-US"/>
        </w:rPr>
        <w:t>‐</w:t>
      </w:r>
      <w:r>
        <w:rPr>
          <w:rFonts w:ascii="Arial" w:eastAsia="Times New Roman" w:hAnsi="Arial" w:cs="Arial"/>
          <w:color w:val="2E74B5" w:themeColor="accent1" w:themeShade="BF"/>
          <w:sz w:val="24"/>
          <w:lang w:val="en-US"/>
        </w:rPr>
        <w:t xml:space="preserve">brand relationships. </w:t>
      </w:r>
      <w:r>
        <w:rPr>
          <w:rFonts w:ascii="Arial" w:eastAsia="Times New Roman" w:hAnsi="Arial" w:cs="Arial"/>
          <w:i/>
          <w:iCs/>
          <w:color w:val="2E74B5" w:themeColor="accent1" w:themeShade="BF"/>
          <w:sz w:val="24"/>
          <w:lang w:val="en-US"/>
        </w:rPr>
        <w:t>Journal of Product &amp; Brand Management</w:t>
      </w:r>
      <w:r>
        <w:rPr>
          <w:rFonts w:ascii="Arial" w:eastAsia="Times New Roman" w:hAnsi="Arial" w:cs="Arial"/>
          <w:color w:val="2E74B5" w:themeColor="accent1" w:themeShade="BF"/>
          <w:sz w:val="24"/>
          <w:lang w:val="en-US"/>
        </w:rPr>
        <w:t xml:space="preserve">, </w:t>
      </w:r>
      <w:r>
        <w:rPr>
          <w:rFonts w:ascii="Arial" w:eastAsia="Times New Roman" w:hAnsi="Arial" w:cs="Arial"/>
          <w:i/>
          <w:iCs/>
          <w:color w:val="2E74B5" w:themeColor="accent1" w:themeShade="BF"/>
          <w:sz w:val="24"/>
          <w:lang w:val="en-US"/>
        </w:rPr>
        <w:t>21</w:t>
      </w:r>
      <w:r>
        <w:rPr>
          <w:rFonts w:ascii="Arial" w:eastAsia="Times New Roman" w:hAnsi="Arial" w:cs="Arial"/>
          <w:color w:val="2E74B5" w:themeColor="accent1" w:themeShade="BF"/>
          <w:sz w:val="24"/>
          <w:lang w:val="en-US"/>
        </w:rPr>
        <w:t xml:space="preserve">(2), 98–108. </w:t>
      </w:r>
      <w:hyperlink r:id="rId15" w:history="1">
        <w:r w:rsidR="00653A61">
          <w:rPr>
            <w:rStyle w:val="Hipervnculo"/>
            <w:rFonts w:ascii="Arial" w:eastAsia="Times New Roman" w:hAnsi="Arial" w:cs="Arial"/>
            <w:sz w:val="24"/>
            <w:lang w:val="en-US"/>
          </w:rPr>
          <w:t>https://doi.org/10.1108/10610421211215517</w:t>
        </w:r>
      </w:hyperlink>
    </w:p>
    <w:p w14:paraId="1B6AA356" w14:textId="38E9FF87" w:rsidR="000F3BD1" w:rsidRDefault="000F3BD1">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rPr>
        <w:t xml:space="preserve">Kotler, P., &amp; Keller, K. L. (2016). Marketing </w:t>
      </w:r>
      <w:proofErr w:type="spellStart"/>
      <w:r>
        <w:rPr>
          <w:rFonts w:ascii="Arial" w:eastAsia="Times New Roman" w:hAnsi="Arial" w:cs="Arial"/>
          <w:color w:val="2E74B5" w:themeColor="accent1" w:themeShade="BF"/>
          <w:sz w:val="24"/>
        </w:rPr>
        <w:t>management</w:t>
      </w:r>
      <w:proofErr w:type="spellEnd"/>
      <w:r>
        <w:rPr>
          <w:rFonts w:ascii="Arial" w:eastAsia="Times New Roman" w:hAnsi="Arial" w:cs="Arial"/>
          <w:color w:val="2E74B5" w:themeColor="accent1" w:themeShade="BF"/>
          <w:sz w:val="24"/>
        </w:rPr>
        <w:t xml:space="preserve"> (15th ed.). Pearson </w:t>
      </w:r>
      <w:proofErr w:type="spellStart"/>
      <w:r>
        <w:rPr>
          <w:rFonts w:ascii="Arial" w:eastAsia="Times New Roman" w:hAnsi="Arial" w:cs="Arial"/>
          <w:color w:val="2E74B5" w:themeColor="accent1" w:themeShade="BF"/>
          <w:sz w:val="24"/>
        </w:rPr>
        <w:t>Education</w:t>
      </w:r>
      <w:proofErr w:type="spellEnd"/>
    </w:p>
    <w:p w14:paraId="57C12108"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lang w:val="en-US"/>
        </w:rPr>
        <w:t xml:space="preserve">Jayatissa, K. (2023). Generation Z–A new lifeline: A systematic literature review. </w:t>
      </w:r>
      <w:r>
        <w:rPr>
          <w:rFonts w:ascii="Arial" w:eastAsia="Times New Roman" w:hAnsi="Arial" w:cs="Arial"/>
          <w:i/>
          <w:iCs/>
          <w:color w:val="2E74B5" w:themeColor="accent1" w:themeShade="BF"/>
          <w:sz w:val="24"/>
          <w:lang w:val="en-US"/>
        </w:rPr>
        <w:t>Sri Lanka Journal of Social Sciences and Humanities</w:t>
      </w:r>
      <w:r>
        <w:rPr>
          <w:rFonts w:ascii="Arial" w:eastAsia="Times New Roman" w:hAnsi="Arial" w:cs="Arial"/>
          <w:color w:val="2E74B5" w:themeColor="accent1" w:themeShade="BF"/>
          <w:sz w:val="24"/>
          <w:lang w:val="en-US"/>
        </w:rPr>
        <w:t xml:space="preserve">, </w:t>
      </w:r>
      <w:r>
        <w:rPr>
          <w:rFonts w:ascii="Arial" w:eastAsia="Times New Roman" w:hAnsi="Arial" w:cs="Arial"/>
          <w:i/>
          <w:iCs/>
          <w:color w:val="2E74B5" w:themeColor="accent1" w:themeShade="BF"/>
          <w:sz w:val="24"/>
          <w:lang w:val="en-US"/>
        </w:rPr>
        <w:t>3</w:t>
      </w:r>
      <w:r>
        <w:rPr>
          <w:rFonts w:ascii="Arial" w:eastAsia="Times New Roman" w:hAnsi="Arial" w:cs="Arial"/>
          <w:color w:val="2E74B5" w:themeColor="accent1" w:themeShade="BF"/>
          <w:sz w:val="24"/>
          <w:lang w:val="en-US"/>
        </w:rPr>
        <w:t>(2).</w:t>
      </w:r>
    </w:p>
    <w:p w14:paraId="271D1390"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lang w:val="en-US"/>
        </w:rPr>
        <w:t xml:space="preserve">Lima-Vargas, A. E., Cervantes-Aldana, F. J., &amp; Lima-Vargas, S. (2022). </w:t>
      </w:r>
      <w:r>
        <w:rPr>
          <w:rFonts w:ascii="Arial" w:eastAsia="Times New Roman" w:hAnsi="Arial" w:cs="Arial"/>
          <w:color w:val="2E74B5" w:themeColor="accent1" w:themeShade="BF"/>
          <w:sz w:val="24"/>
        </w:rPr>
        <w:t xml:space="preserve">La intención de compra en la generación Z en el mercado de moda. </w:t>
      </w:r>
      <w:proofErr w:type="spellStart"/>
      <w:r>
        <w:rPr>
          <w:rFonts w:ascii="Arial" w:eastAsia="Times New Roman" w:hAnsi="Arial" w:cs="Arial"/>
          <w:i/>
          <w:iCs/>
          <w:color w:val="2E74B5" w:themeColor="accent1" w:themeShade="BF"/>
          <w:sz w:val="24"/>
          <w:lang w:val="en-US"/>
        </w:rPr>
        <w:t>Contaduría</w:t>
      </w:r>
      <w:proofErr w:type="spellEnd"/>
      <w:r>
        <w:rPr>
          <w:rFonts w:ascii="Arial" w:eastAsia="Times New Roman" w:hAnsi="Arial" w:cs="Arial"/>
          <w:i/>
          <w:iCs/>
          <w:color w:val="2E74B5" w:themeColor="accent1" w:themeShade="BF"/>
          <w:sz w:val="24"/>
          <w:lang w:val="en-US"/>
        </w:rPr>
        <w:t xml:space="preserve"> y Administración</w:t>
      </w:r>
      <w:r>
        <w:rPr>
          <w:rFonts w:ascii="Arial" w:eastAsia="Times New Roman" w:hAnsi="Arial" w:cs="Arial"/>
          <w:color w:val="2E74B5" w:themeColor="accent1" w:themeShade="BF"/>
          <w:sz w:val="24"/>
          <w:lang w:val="en-US"/>
        </w:rPr>
        <w:t xml:space="preserve">, </w:t>
      </w:r>
      <w:r>
        <w:rPr>
          <w:rFonts w:ascii="Arial" w:eastAsia="Times New Roman" w:hAnsi="Arial" w:cs="Arial"/>
          <w:i/>
          <w:iCs/>
          <w:color w:val="2E74B5" w:themeColor="accent1" w:themeShade="BF"/>
          <w:sz w:val="24"/>
          <w:lang w:val="en-US"/>
        </w:rPr>
        <w:t>67</w:t>
      </w:r>
      <w:r>
        <w:rPr>
          <w:rFonts w:ascii="Arial" w:eastAsia="Times New Roman" w:hAnsi="Arial" w:cs="Arial"/>
          <w:color w:val="2E74B5" w:themeColor="accent1" w:themeShade="BF"/>
          <w:sz w:val="24"/>
          <w:lang w:val="en-US"/>
        </w:rPr>
        <w:t>(4), 72–97.</w:t>
      </w:r>
    </w:p>
    <w:p w14:paraId="2184451E"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lang w:val="en-US"/>
        </w:rPr>
        <w:t xml:space="preserve">Liu, J. (2022). Research on the business strategy and deficiency of the </w:t>
      </w:r>
      <w:r>
        <w:rPr>
          <w:rFonts w:ascii="Arial" w:eastAsia="Times New Roman" w:hAnsi="Arial" w:cs="Arial"/>
          <w:i/>
          <w:color w:val="2E74B5" w:themeColor="accent1" w:themeShade="BF"/>
          <w:sz w:val="24"/>
          <w:lang w:val="en-US"/>
        </w:rPr>
        <w:t>fast fashion</w:t>
      </w:r>
      <w:r>
        <w:rPr>
          <w:rFonts w:ascii="Arial" w:eastAsia="Times New Roman" w:hAnsi="Arial" w:cs="Arial"/>
          <w:color w:val="2E74B5" w:themeColor="accent1" w:themeShade="BF"/>
          <w:sz w:val="24"/>
          <w:lang w:val="en-US"/>
        </w:rPr>
        <w:t xml:space="preserve"> industry to enhance development-a case study of </w:t>
      </w:r>
      <w:r>
        <w:rPr>
          <w:rFonts w:ascii="Arial" w:eastAsia="Times New Roman" w:hAnsi="Arial" w:cs="Arial"/>
          <w:i/>
          <w:color w:val="2E74B5" w:themeColor="accent1" w:themeShade="BF"/>
          <w:sz w:val="24"/>
          <w:lang w:val="en-US"/>
        </w:rPr>
        <w:t>Shein</w:t>
      </w:r>
      <w:r>
        <w:rPr>
          <w:rFonts w:ascii="Arial" w:eastAsia="Times New Roman" w:hAnsi="Arial" w:cs="Arial"/>
          <w:color w:val="2E74B5" w:themeColor="accent1" w:themeShade="BF"/>
          <w:sz w:val="24"/>
          <w:lang w:val="en-US"/>
        </w:rPr>
        <w:t xml:space="preserve">. </w:t>
      </w:r>
      <w:r>
        <w:rPr>
          <w:rFonts w:ascii="Arial" w:eastAsia="Times New Roman" w:hAnsi="Arial" w:cs="Arial"/>
          <w:i/>
          <w:iCs/>
          <w:color w:val="2E74B5" w:themeColor="accent1" w:themeShade="BF"/>
          <w:sz w:val="24"/>
          <w:lang w:val="en-US"/>
        </w:rPr>
        <w:t>2022 2nd International Conference on Economic Development and Business Culture (ICEDBC 2022)</w:t>
      </w:r>
      <w:r>
        <w:rPr>
          <w:rFonts w:ascii="Arial" w:eastAsia="Times New Roman" w:hAnsi="Arial" w:cs="Arial"/>
          <w:color w:val="2E74B5" w:themeColor="accent1" w:themeShade="BF"/>
          <w:sz w:val="24"/>
          <w:lang w:val="en-US"/>
        </w:rPr>
        <w:t>, 1794–1801.</w:t>
      </w:r>
    </w:p>
    <w:p w14:paraId="6A5C6683"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rPr>
        <w:t xml:space="preserve">Lorduy, A. (2025). </w:t>
      </w:r>
      <w:r>
        <w:rPr>
          <w:rFonts w:ascii="Arial" w:eastAsia="Times New Roman" w:hAnsi="Arial" w:cs="Arial"/>
          <w:i/>
          <w:iCs/>
          <w:color w:val="2E74B5" w:themeColor="accent1" w:themeShade="BF"/>
          <w:sz w:val="24"/>
        </w:rPr>
        <w:t>¿Se siente el efecto Temu y Shein? Importaciones textiles crecieron 15,2% en Colombia</w:t>
      </w:r>
      <w:r>
        <w:rPr>
          <w:rFonts w:ascii="Arial" w:eastAsia="Times New Roman" w:hAnsi="Arial" w:cs="Arial"/>
          <w:color w:val="2E74B5" w:themeColor="accent1" w:themeShade="BF"/>
          <w:sz w:val="24"/>
        </w:rPr>
        <w:t xml:space="preserve">. Portafolio. </w:t>
      </w:r>
      <w:hyperlink r:id="rId16">
        <w:r w:rsidR="00653A61">
          <w:rPr>
            <w:rStyle w:val="Hipervnculo"/>
            <w:rFonts w:ascii="Arial" w:eastAsia="Times New Roman" w:hAnsi="Arial" w:cs="Arial"/>
            <w:sz w:val="24"/>
          </w:rPr>
          <w:t>https://www.portafolio.co/negocios/industria/temu-y-shein-importaciones-textiles-crecen-15-2-por-ciento-2025</w:t>
        </w:r>
      </w:hyperlink>
      <w:r>
        <w:rPr>
          <w:rFonts w:ascii="Arial" w:eastAsia="Times New Roman" w:hAnsi="Arial" w:cs="Arial"/>
          <w:color w:val="2E74B5" w:themeColor="accent1" w:themeShade="BF"/>
          <w:sz w:val="24"/>
        </w:rPr>
        <w:t xml:space="preserve"> </w:t>
      </w:r>
    </w:p>
    <w:p w14:paraId="75D5AEE4" w14:textId="77777777" w:rsidR="00653A61" w:rsidRDefault="00563720">
      <w:pPr>
        <w:ind w:hanging="480"/>
        <w:rPr>
          <w:rFonts w:ascii="Arial" w:eastAsia="Times New Roman" w:hAnsi="Arial" w:cs="Arial"/>
          <w:color w:val="2E74B5" w:themeColor="accent1" w:themeShade="BF"/>
          <w:sz w:val="24"/>
        </w:rPr>
      </w:pPr>
      <w:proofErr w:type="spellStart"/>
      <w:r>
        <w:rPr>
          <w:rFonts w:ascii="Arial" w:eastAsia="Times New Roman" w:hAnsi="Arial" w:cs="Arial"/>
          <w:color w:val="2E74B5" w:themeColor="accent1" w:themeShade="BF"/>
          <w:sz w:val="24"/>
          <w:lang w:val="en-US"/>
        </w:rPr>
        <w:t>Mărginean</w:t>
      </w:r>
      <w:proofErr w:type="spellEnd"/>
      <w:r>
        <w:rPr>
          <w:rFonts w:ascii="Arial" w:eastAsia="Times New Roman" w:hAnsi="Arial" w:cs="Arial"/>
          <w:color w:val="2E74B5" w:themeColor="accent1" w:themeShade="BF"/>
          <w:sz w:val="24"/>
          <w:lang w:val="en-US"/>
        </w:rPr>
        <w:t xml:space="preserve">, A. E. (2021). Gen Z perceptions and expectations upon entering the workforce. </w:t>
      </w:r>
      <w:proofErr w:type="spellStart"/>
      <w:r>
        <w:rPr>
          <w:rFonts w:ascii="Arial" w:eastAsia="Times New Roman" w:hAnsi="Arial" w:cs="Arial"/>
          <w:i/>
          <w:iCs/>
          <w:color w:val="2E74B5" w:themeColor="accent1" w:themeShade="BF"/>
          <w:sz w:val="24"/>
        </w:rPr>
        <w:t>European</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Review</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of</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Applied</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Sociology</w:t>
      </w:r>
      <w:proofErr w:type="spellEnd"/>
      <w:r>
        <w:rPr>
          <w:rFonts w:ascii="Arial" w:eastAsia="Times New Roman" w:hAnsi="Arial" w:cs="Arial"/>
          <w:color w:val="2E74B5" w:themeColor="accent1" w:themeShade="BF"/>
          <w:sz w:val="24"/>
        </w:rPr>
        <w:t xml:space="preserve">, </w:t>
      </w:r>
      <w:r>
        <w:rPr>
          <w:rFonts w:ascii="Arial" w:eastAsia="Times New Roman" w:hAnsi="Arial" w:cs="Arial"/>
          <w:i/>
          <w:iCs/>
          <w:color w:val="2E74B5" w:themeColor="accent1" w:themeShade="BF"/>
          <w:sz w:val="24"/>
        </w:rPr>
        <w:t>14</w:t>
      </w:r>
      <w:r>
        <w:rPr>
          <w:rFonts w:ascii="Arial" w:eastAsia="Times New Roman" w:hAnsi="Arial" w:cs="Arial"/>
          <w:color w:val="2E74B5" w:themeColor="accent1" w:themeShade="BF"/>
          <w:sz w:val="24"/>
        </w:rPr>
        <w:t>(22), 20–30.</w:t>
      </w:r>
    </w:p>
    <w:p w14:paraId="21A351F9"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rPr>
        <w:t xml:space="preserve">Mehrabian, A., &amp; Russell, J. A. (1974). </w:t>
      </w:r>
      <w:proofErr w:type="spellStart"/>
      <w:r>
        <w:rPr>
          <w:rFonts w:ascii="Arial" w:eastAsia="Times New Roman" w:hAnsi="Arial" w:cs="Arial"/>
          <w:i/>
          <w:iCs/>
          <w:color w:val="2E74B5" w:themeColor="accent1" w:themeShade="BF"/>
          <w:sz w:val="24"/>
        </w:rPr>
        <w:t>An</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approach</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to</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environmental</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psychology</w:t>
      </w:r>
      <w:proofErr w:type="spellEnd"/>
      <w:r>
        <w:rPr>
          <w:rFonts w:ascii="Arial" w:eastAsia="Times New Roman" w:hAnsi="Arial" w:cs="Arial"/>
          <w:color w:val="2E74B5" w:themeColor="accent1" w:themeShade="BF"/>
          <w:sz w:val="24"/>
        </w:rPr>
        <w:t xml:space="preserve">. MIT Press. </w:t>
      </w:r>
      <w:hyperlink r:id="rId17">
        <w:r w:rsidR="00653A61">
          <w:rPr>
            <w:rStyle w:val="Hipervnculo"/>
            <w:rFonts w:ascii="Arial" w:eastAsia="Times New Roman" w:hAnsi="Arial" w:cs="Arial"/>
            <w:sz w:val="24"/>
            <w:lang w:val="en-US"/>
          </w:rPr>
          <w:t>https://psycnet.apa.org/record/1974-22049-000</w:t>
        </w:r>
      </w:hyperlink>
    </w:p>
    <w:p w14:paraId="118C7BBA"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Mejía, C. E. C., Molina, A. L. B., &amp; Reyes, E. E. C. (2024). MARKETING EMOCIONAL: COMO HERRAMIENTA DE FIDELIZACIÓN EN EL RESTAURANTE LAS VELAS DEL CANTÓN MANTA. </w:t>
      </w:r>
      <w:r>
        <w:rPr>
          <w:rFonts w:ascii="Arial" w:eastAsia="Times New Roman" w:hAnsi="Arial" w:cs="Arial"/>
          <w:i/>
          <w:iCs/>
          <w:color w:val="2E74B5" w:themeColor="accent1" w:themeShade="BF"/>
          <w:sz w:val="24"/>
        </w:rPr>
        <w:t>Revista Científica Arbitrada Multidisciplinaria de Ciencias Contables, Auditoría y Tributación: CORPORATUM 360-ISSN: 2737-6443.</w:t>
      </w:r>
      <w:r>
        <w:rPr>
          <w:rFonts w:ascii="Arial" w:eastAsia="Times New Roman" w:hAnsi="Arial" w:cs="Arial"/>
          <w:color w:val="2E74B5" w:themeColor="accent1" w:themeShade="BF"/>
          <w:sz w:val="24"/>
        </w:rPr>
        <w:t xml:space="preserve">, </w:t>
      </w:r>
      <w:r>
        <w:rPr>
          <w:rFonts w:ascii="Arial" w:eastAsia="Times New Roman" w:hAnsi="Arial" w:cs="Arial"/>
          <w:i/>
          <w:iCs/>
          <w:color w:val="2E74B5" w:themeColor="accent1" w:themeShade="BF"/>
          <w:sz w:val="24"/>
        </w:rPr>
        <w:t>7</w:t>
      </w:r>
      <w:r>
        <w:rPr>
          <w:rFonts w:ascii="Arial" w:eastAsia="Times New Roman" w:hAnsi="Arial" w:cs="Arial"/>
          <w:color w:val="2E74B5" w:themeColor="accent1" w:themeShade="BF"/>
          <w:sz w:val="24"/>
        </w:rPr>
        <w:t>(13), 41–67.</w:t>
      </w:r>
    </w:p>
    <w:p w14:paraId="55733FDF"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Mullo, D. A. J., Pazmiño, K. V. B., Erazo, E. J. V., &amp; Ortega, M. J. J. (2025). El marketing emocional como factor diferenciador en marcas emergentes. </w:t>
      </w:r>
      <w:r>
        <w:rPr>
          <w:rFonts w:ascii="Arial" w:eastAsia="Times New Roman" w:hAnsi="Arial" w:cs="Arial"/>
          <w:i/>
          <w:iCs/>
          <w:color w:val="2E74B5" w:themeColor="accent1" w:themeShade="BF"/>
          <w:sz w:val="24"/>
        </w:rPr>
        <w:t>Universidad y Sociedad</w:t>
      </w:r>
      <w:r>
        <w:rPr>
          <w:rFonts w:ascii="Arial" w:eastAsia="Times New Roman" w:hAnsi="Arial" w:cs="Arial"/>
          <w:color w:val="2E74B5" w:themeColor="accent1" w:themeShade="BF"/>
          <w:sz w:val="24"/>
        </w:rPr>
        <w:t xml:space="preserve">, </w:t>
      </w:r>
      <w:r>
        <w:rPr>
          <w:rFonts w:ascii="Arial" w:eastAsia="Times New Roman" w:hAnsi="Arial" w:cs="Arial"/>
          <w:i/>
          <w:iCs/>
          <w:color w:val="2E74B5" w:themeColor="accent1" w:themeShade="BF"/>
          <w:sz w:val="24"/>
        </w:rPr>
        <w:t>17</w:t>
      </w:r>
      <w:r>
        <w:rPr>
          <w:rFonts w:ascii="Arial" w:eastAsia="Times New Roman" w:hAnsi="Arial" w:cs="Arial"/>
          <w:color w:val="2E74B5" w:themeColor="accent1" w:themeShade="BF"/>
          <w:sz w:val="24"/>
        </w:rPr>
        <w:t>(2), e5005–e5005.</w:t>
      </w:r>
    </w:p>
    <w:p w14:paraId="41663BC8"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lang w:val="en-US"/>
        </w:rPr>
        <w:t>Nunnally, J. C., &amp; Bernstein, I. H. (1994)</w:t>
      </w:r>
      <w:r>
        <w:rPr>
          <w:rFonts w:ascii="Arial" w:eastAsia="Times New Roman" w:hAnsi="Arial" w:cs="Arial"/>
          <w:i/>
          <w:iCs/>
          <w:color w:val="2E74B5" w:themeColor="accent1" w:themeShade="BF"/>
          <w:sz w:val="24"/>
          <w:lang w:val="en-US"/>
        </w:rPr>
        <w:t>. Psychometric theory (3rd ed.). New York McGraw-Hill. - References - Scientific Research Publishing</w:t>
      </w:r>
      <w:r>
        <w:rPr>
          <w:rFonts w:ascii="Arial" w:eastAsia="Times New Roman" w:hAnsi="Arial" w:cs="Arial"/>
          <w:color w:val="2E74B5" w:themeColor="accent1" w:themeShade="BF"/>
          <w:sz w:val="24"/>
          <w:lang w:val="en-US"/>
        </w:rPr>
        <w:t>. https://www.scirp.org/reference/ReferencesPapers?ReferenceID=1017362</w:t>
      </w:r>
    </w:p>
    <w:p w14:paraId="0A104578"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lastRenderedPageBreak/>
        <w:t xml:space="preserve">Pérez-Rave, J., Álvarez-Jaramillo, G., &amp; Henao-Velásquez, J. (2012). </w:t>
      </w:r>
      <w:proofErr w:type="gramStart"/>
      <w:r>
        <w:rPr>
          <w:rFonts w:ascii="Arial" w:eastAsia="Times New Roman" w:hAnsi="Arial" w:cs="Arial"/>
          <w:color w:val="2E74B5" w:themeColor="accent1" w:themeShade="BF"/>
          <w:sz w:val="24"/>
        </w:rPr>
        <w:t>¿ Cómo</w:t>
      </w:r>
      <w:proofErr w:type="gramEnd"/>
      <w:r>
        <w:rPr>
          <w:rFonts w:ascii="Arial" w:eastAsia="Times New Roman" w:hAnsi="Arial" w:cs="Arial"/>
          <w:color w:val="2E74B5" w:themeColor="accent1" w:themeShade="BF"/>
          <w:sz w:val="24"/>
        </w:rPr>
        <w:t xml:space="preserve"> identificar la literatura “poco - vital” y cuantificar su </w:t>
      </w:r>
      <w:proofErr w:type="gramStart"/>
      <w:r>
        <w:rPr>
          <w:rFonts w:ascii="Arial" w:eastAsia="Times New Roman" w:hAnsi="Arial" w:cs="Arial"/>
          <w:color w:val="2E74B5" w:themeColor="accent1" w:themeShade="BF"/>
          <w:sz w:val="24"/>
        </w:rPr>
        <w:t>representatividad ?</w:t>
      </w:r>
      <w:proofErr w:type="gramEnd"/>
      <w:r>
        <w:rPr>
          <w:rFonts w:ascii="Arial" w:eastAsia="Times New Roman" w:hAnsi="Arial" w:cs="Arial"/>
          <w:color w:val="2E74B5" w:themeColor="accent1" w:themeShade="BF"/>
          <w:sz w:val="24"/>
        </w:rPr>
        <w:t xml:space="preserve"> Aplicación al problema del vendedor viajero &lt; TSP &gt;. </w:t>
      </w:r>
      <w:r>
        <w:rPr>
          <w:rFonts w:ascii="Arial" w:eastAsia="Times New Roman" w:hAnsi="Arial" w:cs="Arial"/>
          <w:i/>
          <w:iCs/>
          <w:color w:val="2E74B5" w:themeColor="accent1" w:themeShade="BF"/>
          <w:sz w:val="24"/>
        </w:rPr>
        <w:t>Actualidad y Nuevas Tendencias</w:t>
      </w:r>
      <w:r>
        <w:rPr>
          <w:rFonts w:ascii="Arial" w:eastAsia="Times New Roman" w:hAnsi="Arial" w:cs="Arial"/>
          <w:color w:val="2E74B5" w:themeColor="accent1" w:themeShade="BF"/>
          <w:sz w:val="24"/>
        </w:rPr>
        <w:t>, (8), 51–60.</w:t>
      </w:r>
    </w:p>
    <w:p w14:paraId="2D45CFF5"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Podsakoff, P. M., </w:t>
      </w:r>
      <w:proofErr w:type="spellStart"/>
      <w:r>
        <w:rPr>
          <w:rFonts w:ascii="Arial" w:eastAsia="Times New Roman" w:hAnsi="Arial" w:cs="Arial"/>
          <w:color w:val="2E74B5" w:themeColor="accent1" w:themeShade="BF"/>
          <w:sz w:val="24"/>
        </w:rPr>
        <w:t>MacKenzie</w:t>
      </w:r>
      <w:proofErr w:type="spellEnd"/>
      <w:r>
        <w:rPr>
          <w:rFonts w:ascii="Arial" w:eastAsia="Times New Roman" w:hAnsi="Arial" w:cs="Arial"/>
          <w:color w:val="2E74B5" w:themeColor="accent1" w:themeShade="BF"/>
          <w:sz w:val="24"/>
        </w:rPr>
        <w:t xml:space="preserve">, S. B., Lee, J. Y., &amp; </w:t>
      </w:r>
      <w:proofErr w:type="spellStart"/>
      <w:r>
        <w:rPr>
          <w:rFonts w:ascii="Arial" w:eastAsia="Times New Roman" w:hAnsi="Arial" w:cs="Arial"/>
          <w:color w:val="2E74B5" w:themeColor="accent1" w:themeShade="BF"/>
          <w:sz w:val="24"/>
        </w:rPr>
        <w:t>Podsakoff</w:t>
      </w:r>
      <w:proofErr w:type="spellEnd"/>
      <w:r>
        <w:rPr>
          <w:rFonts w:ascii="Arial" w:eastAsia="Times New Roman" w:hAnsi="Arial" w:cs="Arial"/>
          <w:color w:val="2E74B5" w:themeColor="accent1" w:themeShade="BF"/>
          <w:sz w:val="24"/>
        </w:rPr>
        <w:t xml:space="preserve">, N. P. (2003). </w:t>
      </w:r>
      <w:r>
        <w:rPr>
          <w:rFonts w:ascii="Arial" w:eastAsia="Times New Roman" w:hAnsi="Arial" w:cs="Arial"/>
          <w:i/>
          <w:iCs/>
          <w:color w:val="2E74B5" w:themeColor="accent1" w:themeShade="BF"/>
          <w:sz w:val="24"/>
        </w:rPr>
        <w:t xml:space="preserve">Common </w:t>
      </w:r>
      <w:proofErr w:type="spellStart"/>
      <w:r>
        <w:rPr>
          <w:rFonts w:ascii="Arial" w:eastAsia="Times New Roman" w:hAnsi="Arial" w:cs="Arial"/>
          <w:i/>
          <w:iCs/>
          <w:color w:val="2E74B5" w:themeColor="accent1" w:themeShade="BF"/>
          <w:sz w:val="24"/>
        </w:rPr>
        <w:t>method</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biases</w:t>
      </w:r>
      <w:proofErr w:type="spellEnd"/>
      <w:r>
        <w:rPr>
          <w:rFonts w:ascii="Arial" w:eastAsia="Times New Roman" w:hAnsi="Arial" w:cs="Arial"/>
          <w:i/>
          <w:iCs/>
          <w:color w:val="2E74B5" w:themeColor="accent1" w:themeShade="BF"/>
          <w:sz w:val="24"/>
        </w:rPr>
        <w:t xml:space="preserve"> in </w:t>
      </w:r>
      <w:proofErr w:type="spellStart"/>
      <w:r>
        <w:rPr>
          <w:rFonts w:ascii="Arial" w:eastAsia="Times New Roman" w:hAnsi="Arial" w:cs="Arial"/>
          <w:i/>
          <w:iCs/>
          <w:color w:val="2E74B5" w:themeColor="accent1" w:themeShade="BF"/>
          <w:sz w:val="24"/>
        </w:rPr>
        <w:t>behavioral</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research</w:t>
      </w:r>
      <w:proofErr w:type="spellEnd"/>
      <w:r>
        <w:rPr>
          <w:rFonts w:ascii="Arial" w:eastAsia="Times New Roman" w:hAnsi="Arial" w:cs="Arial"/>
          <w:i/>
          <w:iCs/>
          <w:color w:val="2E74B5" w:themeColor="accent1" w:themeShade="BF"/>
          <w:sz w:val="24"/>
        </w:rPr>
        <w:t xml:space="preserve">: A </w:t>
      </w:r>
      <w:proofErr w:type="spellStart"/>
      <w:r>
        <w:rPr>
          <w:rFonts w:ascii="Arial" w:eastAsia="Times New Roman" w:hAnsi="Arial" w:cs="Arial"/>
          <w:i/>
          <w:iCs/>
          <w:color w:val="2E74B5" w:themeColor="accent1" w:themeShade="BF"/>
          <w:sz w:val="24"/>
        </w:rPr>
        <w:t>critical</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review</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of</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the</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literature</w:t>
      </w:r>
      <w:proofErr w:type="spellEnd"/>
      <w:r>
        <w:rPr>
          <w:rFonts w:ascii="Arial" w:eastAsia="Times New Roman" w:hAnsi="Arial" w:cs="Arial"/>
          <w:i/>
          <w:iCs/>
          <w:color w:val="2E74B5" w:themeColor="accent1" w:themeShade="BF"/>
          <w:sz w:val="24"/>
        </w:rPr>
        <w:t xml:space="preserve"> and </w:t>
      </w:r>
      <w:proofErr w:type="spellStart"/>
      <w:r>
        <w:rPr>
          <w:rFonts w:ascii="Arial" w:eastAsia="Times New Roman" w:hAnsi="Arial" w:cs="Arial"/>
          <w:i/>
          <w:iCs/>
          <w:color w:val="2E74B5" w:themeColor="accent1" w:themeShade="BF"/>
          <w:sz w:val="24"/>
        </w:rPr>
        <w:t>recommended</w:t>
      </w:r>
      <w:proofErr w:type="spellEnd"/>
      <w:r>
        <w:rPr>
          <w:rFonts w:ascii="Arial" w:eastAsia="Times New Roman" w:hAnsi="Arial" w:cs="Arial"/>
          <w:i/>
          <w:iCs/>
          <w:color w:val="2E74B5" w:themeColor="accent1" w:themeShade="BF"/>
          <w:sz w:val="24"/>
        </w:rPr>
        <w:t xml:space="preserve"> remedies</w:t>
      </w:r>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Journal</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of</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Applied</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Psychology</w:t>
      </w:r>
      <w:proofErr w:type="spellEnd"/>
      <w:r>
        <w:rPr>
          <w:rFonts w:ascii="Arial" w:eastAsia="Times New Roman" w:hAnsi="Arial" w:cs="Arial"/>
          <w:color w:val="2E74B5" w:themeColor="accent1" w:themeShade="BF"/>
          <w:sz w:val="24"/>
        </w:rPr>
        <w:t xml:space="preserve">, 88(5), 879–903. </w:t>
      </w:r>
      <w:hyperlink r:id="rId18" w:tgtFrame="_new">
        <w:r w:rsidR="00653A61">
          <w:rPr>
            <w:rStyle w:val="Hipervnculo"/>
            <w:rFonts w:ascii="Arial" w:eastAsia="Times New Roman" w:hAnsi="Arial" w:cs="Arial"/>
            <w:sz w:val="24"/>
          </w:rPr>
          <w:t>https://doi.org/10.1037/0021-9010.88.5.879</w:t>
        </w:r>
      </w:hyperlink>
    </w:p>
    <w:p w14:paraId="6A47A8CB" w14:textId="77777777" w:rsidR="00653A61" w:rsidRDefault="00563720">
      <w:pPr>
        <w:ind w:hanging="480"/>
        <w:rPr>
          <w:rFonts w:ascii="Arial" w:eastAsia="Times New Roman" w:hAnsi="Arial" w:cs="Arial"/>
          <w:color w:val="2E74B5" w:themeColor="accent1" w:themeShade="BF"/>
          <w:sz w:val="24"/>
          <w:lang w:val="en-US"/>
        </w:rPr>
      </w:pPr>
      <w:proofErr w:type="spellStart"/>
      <w:r>
        <w:rPr>
          <w:rFonts w:ascii="Arial" w:eastAsia="Times New Roman" w:hAnsi="Arial" w:cs="Arial"/>
          <w:color w:val="2E74B5" w:themeColor="accent1" w:themeShade="BF"/>
          <w:sz w:val="24"/>
          <w:lang w:val="en-US"/>
        </w:rPr>
        <w:t>Scayle</w:t>
      </w:r>
      <w:proofErr w:type="spellEnd"/>
      <w:r>
        <w:rPr>
          <w:rFonts w:ascii="Arial" w:eastAsia="Times New Roman" w:hAnsi="Arial" w:cs="Arial"/>
          <w:color w:val="2E74B5" w:themeColor="accent1" w:themeShade="BF"/>
          <w:sz w:val="24"/>
          <w:lang w:val="en-US"/>
        </w:rPr>
        <w:t xml:space="preserve"> Commerce Engine. (2024, November 19). </w:t>
      </w:r>
      <w:proofErr w:type="spellStart"/>
      <w:r>
        <w:rPr>
          <w:rFonts w:ascii="Arial" w:eastAsia="Times New Roman" w:hAnsi="Arial" w:cs="Arial"/>
          <w:i/>
          <w:iCs/>
          <w:color w:val="2E74B5" w:themeColor="accent1" w:themeShade="BF"/>
          <w:sz w:val="24"/>
          <w:lang w:val="en-US"/>
        </w:rPr>
        <w:t>Temu</w:t>
      </w:r>
      <w:proofErr w:type="spellEnd"/>
      <w:r>
        <w:rPr>
          <w:rFonts w:ascii="Arial" w:eastAsia="Times New Roman" w:hAnsi="Arial" w:cs="Arial"/>
          <w:i/>
          <w:iCs/>
          <w:color w:val="2E74B5" w:themeColor="accent1" w:themeShade="BF"/>
          <w:sz w:val="24"/>
          <w:lang w:val="en-US"/>
        </w:rPr>
        <w:t xml:space="preserve"> &amp; Shein: The Science of Disrupting eCommerce</w:t>
      </w:r>
      <w:r>
        <w:rPr>
          <w:rFonts w:ascii="Arial" w:eastAsia="Times New Roman" w:hAnsi="Arial" w:cs="Arial"/>
          <w:color w:val="2E74B5" w:themeColor="accent1" w:themeShade="BF"/>
          <w:sz w:val="24"/>
          <w:lang w:val="en-US"/>
        </w:rPr>
        <w:t>. Scayle.Com. https://www.scayle.com/library/blog/</w:t>
      </w:r>
      <w:r>
        <w:rPr>
          <w:rFonts w:ascii="Arial" w:eastAsia="Times New Roman" w:hAnsi="Arial" w:cs="Arial"/>
          <w:i/>
          <w:color w:val="2E74B5" w:themeColor="accent1" w:themeShade="BF"/>
          <w:sz w:val="24"/>
          <w:lang w:val="en-US"/>
        </w:rPr>
        <w:t>temu</w:t>
      </w:r>
      <w:r>
        <w:rPr>
          <w:rFonts w:ascii="Arial" w:eastAsia="Times New Roman" w:hAnsi="Arial" w:cs="Arial"/>
          <w:color w:val="2E74B5" w:themeColor="accent1" w:themeShade="BF"/>
          <w:sz w:val="24"/>
          <w:lang w:val="en-US"/>
        </w:rPr>
        <w:t>-</w:t>
      </w:r>
      <w:r>
        <w:rPr>
          <w:rFonts w:ascii="Arial" w:eastAsia="Times New Roman" w:hAnsi="Arial" w:cs="Arial"/>
          <w:i/>
          <w:color w:val="2E74B5" w:themeColor="accent1" w:themeShade="BF"/>
          <w:sz w:val="24"/>
          <w:lang w:val="en-US"/>
        </w:rPr>
        <w:t>shein</w:t>
      </w:r>
      <w:r>
        <w:rPr>
          <w:rFonts w:ascii="Arial" w:eastAsia="Times New Roman" w:hAnsi="Arial" w:cs="Arial"/>
          <w:color w:val="2E74B5" w:themeColor="accent1" w:themeShade="BF"/>
          <w:sz w:val="24"/>
          <w:lang w:val="en-US"/>
        </w:rPr>
        <w:t>-disrupting-ecommerce/</w:t>
      </w:r>
    </w:p>
    <w:p w14:paraId="5A2355D3"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i/>
          <w:iCs/>
          <w:color w:val="2E74B5" w:themeColor="accent1" w:themeShade="BF"/>
          <w:sz w:val="24"/>
          <w:lang w:val="en-US"/>
        </w:rPr>
        <w:t xml:space="preserve">Sharma, K., </w:t>
      </w:r>
      <w:proofErr w:type="spellStart"/>
      <w:r>
        <w:rPr>
          <w:rFonts w:ascii="Arial" w:eastAsia="Times New Roman" w:hAnsi="Arial" w:cs="Arial"/>
          <w:i/>
          <w:iCs/>
          <w:color w:val="2E74B5" w:themeColor="accent1" w:themeShade="BF"/>
          <w:sz w:val="24"/>
          <w:lang w:val="en-US"/>
        </w:rPr>
        <w:t>Kodhati</w:t>
      </w:r>
      <w:proofErr w:type="spellEnd"/>
      <w:r>
        <w:rPr>
          <w:rFonts w:ascii="Arial" w:eastAsia="Times New Roman" w:hAnsi="Arial" w:cs="Arial"/>
          <w:i/>
          <w:iCs/>
          <w:color w:val="2E74B5" w:themeColor="accent1" w:themeShade="BF"/>
          <w:sz w:val="24"/>
          <w:lang w:val="en-US"/>
        </w:rPr>
        <w:t xml:space="preserve">, P., &amp; </w:t>
      </w:r>
      <w:proofErr w:type="spellStart"/>
      <w:r>
        <w:rPr>
          <w:rFonts w:ascii="Arial" w:eastAsia="Times New Roman" w:hAnsi="Arial" w:cs="Arial"/>
          <w:i/>
          <w:iCs/>
          <w:color w:val="2E74B5" w:themeColor="accent1" w:themeShade="BF"/>
          <w:sz w:val="24"/>
          <w:lang w:val="en-US"/>
        </w:rPr>
        <w:t>Sukhavasi</w:t>
      </w:r>
      <w:proofErr w:type="spellEnd"/>
      <w:r>
        <w:rPr>
          <w:rFonts w:ascii="Arial" w:eastAsia="Times New Roman" w:hAnsi="Arial" w:cs="Arial"/>
          <w:i/>
          <w:iCs/>
          <w:color w:val="2E74B5" w:themeColor="accent1" w:themeShade="BF"/>
          <w:sz w:val="24"/>
          <w:lang w:val="en-US"/>
        </w:rPr>
        <w:t xml:space="preserve">, </w:t>
      </w:r>
      <w:proofErr w:type="gramStart"/>
      <w:r>
        <w:rPr>
          <w:rFonts w:ascii="Arial" w:eastAsia="Times New Roman" w:hAnsi="Arial" w:cs="Arial"/>
          <w:i/>
          <w:iCs/>
          <w:color w:val="2E74B5" w:themeColor="accent1" w:themeShade="BF"/>
          <w:sz w:val="24"/>
          <w:lang w:val="en-US"/>
        </w:rPr>
        <w:t>S.(</w:t>
      </w:r>
      <w:proofErr w:type="gramEnd"/>
      <w:r>
        <w:rPr>
          <w:rFonts w:ascii="Arial" w:eastAsia="Times New Roman" w:hAnsi="Arial" w:cs="Arial"/>
          <w:i/>
          <w:iCs/>
          <w:color w:val="2E74B5" w:themeColor="accent1" w:themeShade="BF"/>
          <w:sz w:val="24"/>
          <w:lang w:val="en-US"/>
        </w:rPr>
        <w:t xml:space="preserve">2022). Emotional Marketing on Consumer </w:t>
      </w:r>
      <w:proofErr w:type="spellStart"/>
      <w:r>
        <w:rPr>
          <w:rFonts w:ascii="Arial" w:eastAsia="Times New Roman" w:hAnsi="Arial" w:cs="Arial"/>
          <w:i/>
          <w:iCs/>
          <w:color w:val="2E74B5" w:themeColor="accent1" w:themeShade="BF"/>
          <w:sz w:val="24"/>
          <w:lang w:val="en-US"/>
        </w:rPr>
        <w:t>Behaviour</w:t>
      </w:r>
      <w:proofErr w:type="spellEnd"/>
      <w:r>
        <w:rPr>
          <w:rFonts w:ascii="Arial" w:eastAsia="Times New Roman" w:hAnsi="Arial" w:cs="Arial"/>
          <w:i/>
          <w:iCs/>
          <w:color w:val="2E74B5" w:themeColor="accent1" w:themeShade="BF"/>
          <w:sz w:val="24"/>
          <w:lang w:val="en-US"/>
        </w:rPr>
        <w:t>-Perception Study. International Journal on Customer Relations</w:t>
      </w:r>
      <w:r>
        <w:rPr>
          <w:rFonts w:ascii="Arial" w:eastAsia="Times New Roman" w:hAnsi="Arial" w:cs="Arial"/>
          <w:color w:val="2E74B5" w:themeColor="accent1" w:themeShade="BF"/>
          <w:sz w:val="24"/>
          <w:lang w:val="en-US"/>
        </w:rPr>
        <w:t xml:space="preserve">, </w:t>
      </w:r>
      <w:r>
        <w:rPr>
          <w:rFonts w:ascii="Arial" w:eastAsia="Times New Roman" w:hAnsi="Arial" w:cs="Arial"/>
          <w:i/>
          <w:iCs/>
          <w:color w:val="2E74B5" w:themeColor="accent1" w:themeShade="BF"/>
          <w:sz w:val="24"/>
          <w:lang w:val="en-US"/>
        </w:rPr>
        <w:t>10</w:t>
      </w:r>
      <w:r>
        <w:rPr>
          <w:rFonts w:ascii="Arial" w:eastAsia="Times New Roman" w:hAnsi="Arial" w:cs="Arial"/>
          <w:color w:val="2E74B5" w:themeColor="accent1" w:themeShade="BF"/>
          <w:sz w:val="24"/>
          <w:lang w:val="en-US"/>
        </w:rPr>
        <w:t>(2), 1.</w:t>
      </w:r>
    </w:p>
    <w:p w14:paraId="18A076F1"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rPr>
        <w:t xml:space="preserve">Tan, Y. (2024). </w:t>
      </w:r>
      <w:r>
        <w:rPr>
          <w:rFonts w:ascii="Arial" w:eastAsia="Times New Roman" w:hAnsi="Arial" w:cs="Arial"/>
          <w:i/>
          <w:iCs/>
          <w:color w:val="2E74B5" w:themeColor="accent1" w:themeShade="BF"/>
          <w:sz w:val="24"/>
        </w:rPr>
        <w:t xml:space="preserve">Market </w:t>
      </w:r>
      <w:proofErr w:type="spellStart"/>
      <w:r>
        <w:rPr>
          <w:rFonts w:ascii="Arial" w:eastAsia="Times New Roman" w:hAnsi="Arial" w:cs="Arial"/>
          <w:i/>
          <w:iCs/>
          <w:color w:val="2E74B5" w:themeColor="accent1" w:themeShade="BF"/>
          <w:sz w:val="24"/>
        </w:rPr>
        <w:t>entry</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strategies</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of</w:t>
      </w:r>
      <w:proofErr w:type="spellEnd"/>
      <w:r>
        <w:rPr>
          <w:rFonts w:ascii="Arial" w:eastAsia="Times New Roman" w:hAnsi="Arial" w:cs="Arial"/>
          <w:i/>
          <w:iCs/>
          <w:color w:val="2E74B5" w:themeColor="accent1" w:themeShade="BF"/>
          <w:sz w:val="24"/>
        </w:rPr>
        <w:t xml:space="preserve"> Temu and Shein: A comparative </w:t>
      </w:r>
      <w:proofErr w:type="spellStart"/>
      <w:r>
        <w:rPr>
          <w:rFonts w:ascii="Arial" w:eastAsia="Times New Roman" w:hAnsi="Arial" w:cs="Arial"/>
          <w:i/>
          <w:iCs/>
          <w:color w:val="2E74B5" w:themeColor="accent1" w:themeShade="BF"/>
          <w:sz w:val="24"/>
        </w:rPr>
        <w:t>analysis</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Bachelor’s</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thesis</w:t>
      </w:r>
      <w:proofErr w:type="spellEnd"/>
      <w:r>
        <w:rPr>
          <w:rFonts w:ascii="Arial" w:eastAsia="Times New Roman" w:hAnsi="Arial" w:cs="Arial"/>
          <w:color w:val="2E74B5" w:themeColor="accent1" w:themeShade="BF"/>
          <w:sz w:val="24"/>
        </w:rPr>
        <w:t xml:space="preserve">, NYU </w:t>
      </w:r>
      <w:proofErr w:type="spellStart"/>
      <w:r>
        <w:rPr>
          <w:rFonts w:ascii="Arial" w:eastAsia="Times New Roman" w:hAnsi="Arial" w:cs="Arial"/>
          <w:color w:val="2E74B5" w:themeColor="accent1" w:themeShade="BF"/>
          <w:sz w:val="24"/>
        </w:rPr>
        <w:t>Shanghai</w:t>
      </w:r>
      <w:proofErr w:type="spellEnd"/>
      <w:r>
        <w:rPr>
          <w:rFonts w:ascii="Arial" w:eastAsia="Times New Roman" w:hAnsi="Arial" w:cs="Arial"/>
          <w:color w:val="2E74B5" w:themeColor="accent1" w:themeShade="BF"/>
          <w:sz w:val="24"/>
        </w:rPr>
        <w:t xml:space="preserve">. </w:t>
      </w:r>
      <w:hyperlink r:id="rId19" w:tgtFrame="_new">
        <w:r w:rsidR="00653A61">
          <w:rPr>
            <w:rStyle w:val="Hipervnculo"/>
            <w:rFonts w:ascii="Arial" w:eastAsia="Times New Roman" w:hAnsi="Arial" w:cs="Arial"/>
            <w:sz w:val="24"/>
          </w:rPr>
          <w:t>https://www.researchgate.net/publication/391980758_Market_Entry_Strategies_of_Temu_and_Shein_A_Comparative_Analysis</w:t>
        </w:r>
      </w:hyperlink>
    </w:p>
    <w:p w14:paraId="5EFFB59E" w14:textId="77777777" w:rsidR="00653A61" w:rsidRDefault="00563720">
      <w:pPr>
        <w:ind w:hanging="480"/>
        <w:rPr>
          <w:rFonts w:ascii="Arial" w:eastAsia="Times New Roman" w:hAnsi="Arial" w:cs="Arial"/>
          <w:color w:val="2E74B5" w:themeColor="accent1" w:themeShade="BF"/>
          <w:sz w:val="24"/>
          <w:lang w:val="en-US"/>
        </w:rPr>
      </w:pPr>
      <w:r>
        <w:rPr>
          <w:rFonts w:ascii="Arial" w:eastAsia="Times New Roman" w:hAnsi="Arial" w:cs="Arial"/>
          <w:color w:val="2E74B5" w:themeColor="accent1" w:themeShade="BF"/>
          <w:sz w:val="24"/>
          <w:lang w:val="en-US"/>
        </w:rPr>
        <w:t xml:space="preserve">Tan, Y. (2024a). An analysis of emotional marketing mechanisms strategies and consumer responses. </w:t>
      </w:r>
      <w:r>
        <w:rPr>
          <w:rFonts w:ascii="Arial" w:eastAsia="Times New Roman" w:hAnsi="Arial" w:cs="Arial"/>
          <w:i/>
          <w:iCs/>
          <w:color w:val="2E74B5" w:themeColor="accent1" w:themeShade="BF"/>
          <w:sz w:val="24"/>
          <w:lang w:val="en-US"/>
        </w:rPr>
        <w:t>Advances in Economics, Management and Political Sciences</w:t>
      </w:r>
      <w:r>
        <w:rPr>
          <w:rFonts w:ascii="Arial" w:eastAsia="Times New Roman" w:hAnsi="Arial" w:cs="Arial"/>
          <w:color w:val="2E74B5" w:themeColor="accent1" w:themeShade="BF"/>
          <w:sz w:val="24"/>
          <w:lang w:val="en-US"/>
        </w:rPr>
        <w:t xml:space="preserve">, </w:t>
      </w:r>
      <w:r>
        <w:rPr>
          <w:rFonts w:ascii="Arial" w:eastAsia="Times New Roman" w:hAnsi="Arial" w:cs="Arial"/>
          <w:i/>
          <w:iCs/>
          <w:color w:val="2E74B5" w:themeColor="accent1" w:themeShade="BF"/>
          <w:sz w:val="24"/>
          <w:lang w:val="en-US"/>
        </w:rPr>
        <w:t>135</w:t>
      </w:r>
      <w:r>
        <w:rPr>
          <w:rFonts w:ascii="Arial" w:eastAsia="Times New Roman" w:hAnsi="Arial" w:cs="Arial"/>
          <w:color w:val="2E74B5" w:themeColor="accent1" w:themeShade="BF"/>
          <w:sz w:val="24"/>
          <w:lang w:val="en-US"/>
        </w:rPr>
        <w:t xml:space="preserve">(1), 1–6. </w:t>
      </w:r>
      <w:hyperlink r:id="rId20">
        <w:r w:rsidR="00653A61">
          <w:rPr>
            <w:rStyle w:val="Hipervnculo"/>
            <w:rFonts w:ascii="Arial" w:eastAsia="Times New Roman" w:hAnsi="Arial" w:cs="Arial"/>
            <w:sz w:val="24"/>
            <w:lang w:val="en-US"/>
          </w:rPr>
          <w:t>https://doi.org/10.54254/2754-1169/2024.18636</w:t>
        </w:r>
      </w:hyperlink>
    </w:p>
    <w:p w14:paraId="12E765D6"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Valverde, P., Moradillo, J., Díaz, B., Durán, S., Forte, F., &amp; Arzeno, V. (2023). Las nuevas reglas del Marketing Construyendo marcas genuinas que conecten con la Generación Z. </w:t>
      </w:r>
      <w:proofErr w:type="spellStart"/>
      <w:r>
        <w:rPr>
          <w:rFonts w:ascii="Arial" w:eastAsia="Times New Roman" w:hAnsi="Arial" w:cs="Arial"/>
          <w:i/>
          <w:iCs/>
          <w:color w:val="2E74B5" w:themeColor="accent1" w:themeShade="BF"/>
          <w:sz w:val="24"/>
        </w:rPr>
        <w:t>Llyc.Global</w:t>
      </w:r>
      <w:proofErr w:type="spellEnd"/>
      <w:r>
        <w:rPr>
          <w:rFonts w:ascii="Arial" w:eastAsia="Times New Roman" w:hAnsi="Arial" w:cs="Arial"/>
          <w:color w:val="2E74B5" w:themeColor="accent1" w:themeShade="BF"/>
          <w:sz w:val="24"/>
        </w:rPr>
        <w:t>.</w:t>
      </w:r>
    </w:p>
    <w:p w14:paraId="523A8ABF"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Weber, N., &amp; Ritch, E. L. (2023). </w:t>
      </w:r>
      <w:r>
        <w:rPr>
          <w:rFonts w:ascii="Arial" w:eastAsia="Times New Roman" w:hAnsi="Arial" w:cs="Arial"/>
          <w:i/>
          <w:color w:val="2E74B5" w:themeColor="accent1" w:themeShade="BF"/>
          <w:sz w:val="24"/>
        </w:rPr>
        <w:t xml:space="preserve">Fast </w:t>
      </w:r>
      <w:proofErr w:type="spellStart"/>
      <w:r>
        <w:rPr>
          <w:rFonts w:ascii="Arial" w:eastAsia="Times New Roman" w:hAnsi="Arial" w:cs="Arial"/>
          <w:i/>
          <w:color w:val="2E74B5" w:themeColor="accent1" w:themeShade="BF"/>
          <w:sz w:val="24"/>
        </w:rPr>
        <w:t>fashion</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exploring</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the</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impact</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of</w:t>
      </w:r>
      <w:proofErr w:type="spellEnd"/>
      <w:r>
        <w:rPr>
          <w:rFonts w:ascii="Arial" w:eastAsia="Times New Roman" w:hAnsi="Arial" w:cs="Arial"/>
          <w:color w:val="2E74B5" w:themeColor="accent1" w:themeShade="BF"/>
          <w:sz w:val="24"/>
        </w:rPr>
        <w:t xml:space="preserve"> impulse </w:t>
      </w:r>
      <w:proofErr w:type="spellStart"/>
      <w:r>
        <w:rPr>
          <w:rFonts w:ascii="Arial" w:eastAsia="Times New Roman" w:hAnsi="Arial" w:cs="Arial"/>
          <w:color w:val="2E74B5" w:themeColor="accent1" w:themeShade="BF"/>
          <w:sz w:val="24"/>
        </w:rPr>
        <w:t>buying</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among</w:t>
      </w:r>
      <w:proofErr w:type="spellEnd"/>
      <w:r>
        <w:rPr>
          <w:rFonts w:ascii="Arial" w:eastAsia="Times New Roman" w:hAnsi="Arial" w:cs="Arial"/>
          <w:color w:val="2E74B5" w:themeColor="accent1" w:themeShade="BF"/>
          <w:sz w:val="24"/>
        </w:rPr>
        <w:t xml:space="preserve"> Scottish </w:t>
      </w:r>
      <w:proofErr w:type="spellStart"/>
      <w:r>
        <w:rPr>
          <w:rFonts w:ascii="Arial" w:eastAsia="Times New Roman" w:hAnsi="Arial" w:cs="Arial"/>
          <w:color w:val="2E74B5" w:themeColor="accent1" w:themeShade="BF"/>
          <w:sz w:val="24"/>
        </w:rPr>
        <w:t>Generation</w:t>
      </w:r>
      <w:proofErr w:type="spellEnd"/>
      <w:r>
        <w:rPr>
          <w:rFonts w:ascii="Arial" w:eastAsia="Times New Roman" w:hAnsi="Arial" w:cs="Arial"/>
          <w:color w:val="2E74B5" w:themeColor="accent1" w:themeShade="BF"/>
          <w:sz w:val="24"/>
        </w:rPr>
        <w:t xml:space="preserve">-Z </w:t>
      </w:r>
      <w:proofErr w:type="spellStart"/>
      <w:r>
        <w:rPr>
          <w:rFonts w:ascii="Arial" w:eastAsia="Times New Roman" w:hAnsi="Arial" w:cs="Arial"/>
          <w:color w:val="2E74B5" w:themeColor="accent1" w:themeShade="BF"/>
          <w:sz w:val="24"/>
        </w:rPr>
        <w:t>consumers</w:t>
      </w:r>
      <w:proofErr w:type="spellEnd"/>
      <w:r>
        <w:rPr>
          <w:rFonts w:ascii="Arial" w:eastAsia="Times New Roman" w:hAnsi="Arial" w:cs="Arial"/>
          <w:color w:val="2E74B5" w:themeColor="accent1" w:themeShade="BF"/>
          <w:sz w:val="24"/>
        </w:rPr>
        <w:t xml:space="preserve">. In L.-P. Dana et al. (Eds.), </w:t>
      </w:r>
      <w:r>
        <w:rPr>
          <w:rFonts w:ascii="Arial" w:eastAsia="Times New Roman" w:hAnsi="Arial" w:cs="Arial"/>
          <w:i/>
          <w:iCs/>
          <w:color w:val="2E74B5" w:themeColor="accent1" w:themeShade="BF"/>
          <w:sz w:val="24"/>
        </w:rPr>
        <w:t xml:space="preserve">Fashion and </w:t>
      </w:r>
      <w:proofErr w:type="spellStart"/>
      <w:r>
        <w:rPr>
          <w:rFonts w:ascii="Arial" w:eastAsia="Times New Roman" w:hAnsi="Arial" w:cs="Arial"/>
          <w:i/>
          <w:iCs/>
          <w:color w:val="2E74B5" w:themeColor="accent1" w:themeShade="BF"/>
          <w:sz w:val="24"/>
        </w:rPr>
        <w:t>environmental</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sustainability</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entrepreneurship</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innovation</w:t>
      </w:r>
      <w:proofErr w:type="spellEnd"/>
      <w:r>
        <w:rPr>
          <w:rFonts w:ascii="Arial" w:eastAsia="Times New Roman" w:hAnsi="Arial" w:cs="Arial"/>
          <w:i/>
          <w:iCs/>
          <w:color w:val="2E74B5" w:themeColor="accent1" w:themeShade="BF"/>
          <w:sz w:val="24"/>
        </w:rPr>
        <w:t xml:space="preserve"> and </w:t>
      </w:r>
      <w:proofErr w:type="spellStart"/>
      <w:r>
        <w:rPr>
          <w:rFonts w:ascii="Arial" w:eastAsia="Times New Roman" w:hAnsi="Arial" w:cs="Arial"/>
          <w:i/>
          <w:iCs/>
          <w:color w:val="2E74B5" w:themeColor="accent1" w:themeShade="BF"/>
          <w:sz w:val="24"/>
        </w:rPr>
        <w:t>technology</w:t>
      </w:r>
      <w:proofErr w:type="spellEnd"/>
      <w:r>
        <w:rPr>
          <w:rFonts w:ascii="Arial" w:eastAsia="Times New Roman" w:hAnsi="Arial" w:cs="Arial"/>
          <w:color w:val="2E74B5" w:themeColor="accent1" w:themeShade="BF"/>
          <w:sz w:val="24"/>
        </w:rPr>
        <w:t xml:space="preserve"> (pp. 169–183). De </w:t>
      </w:r>
      <w:proofErr w:type="spellStart"/>
      <w:r>
        <w:rPr>
          <w:rFonts w:ascii="Arial" w:eastAsia="Times New Roman" w:hAnsi="Arial" w:cs="Arial"/>
          <w:color w:val="2E74B5" w:themeColor="accent1" w:themeShade="BF"/>
          <w:sz w:val="24"/>
        </w:rPr>
        <w:t>Gruyter</w:t>
      </w:r>
      <w:proofErr w:type="spellEnd"/>
      <w:r>
        <w:rPr>
          <w:rFonts w:ascii="Arial" w:eastAsia="Times New Roman" w:hAnsi="Arial" w:cs="Arial"/>
          <w:color w:val="2E74B5" w:themeColor="accent1" w:themeShade="BF"/>
          <w:sz w:val="24"/>
        </w:rPr>
        <w:t xml:space="preserve">. </w:t>
      </w:r>
      <w:hyperlink r:id="rId21" w:tgtFrame="_new">
        <w:r w:rsidR="00653A61">
          <w:rPr>
            <w:rStyle w:val="Hipervnculo"/>
            <w:rFonts w:ascii="Arial" w:eastAsia="Times New Roman" w:hAnsi="Arial" w:cs="Arial"/>
            <w:sz w:val="24"/>
          </w:rPr>
          <w:t>https://doi.org/10.1515/9783110795431-014</w:t>
        </w:r>
      </w:hyperlink>
    </w:p>
    <w:p w14:paraId="2AE9B095" w14:textId="77777777" w:rsidR="00653A61" w:rsidRDefault="00563720">
      <w:pPr>
        <w:ind w:hanging="480"/>
        <w:rPr>
          <w:rFonts w:ascii="Arial" w:eastAsia="Times New Roman" w:hAnsi="Arial" w:cs="Arial"/>
          <w:color w:val="2E74B5" w:themeColor="accent1" w:themeShade="BF"/>
          <w:sz w:val="24"/>
        </w:rPr>
      </w:pPr>
      <w:r>
        <w:rPr>
          <w:rFonts w:ascii="Arial" w:eastAsia="Times New Roman" w:hAnsi="Arial" w:cs="Arial"/>
          <w:color w:val="2E74B5" w:themeColor="accent1" w:themeShade="BF"/>
          <w:sz w:val="24"/>
        </w:rPr>
        <w:t xml:space="preserve">Zeithaml, V. A. (1988). </w:t>
      </w:r>
      <w:proofErr w:type="spellStart"/>
      <w:r>
        <w:rPr>
          <w:rFonts w:ascii="Arial" w:eastAsia="Times New Roman" w:hAnsi="Arial" w:cs="Arial"/>
          <w:color w:val="2E74B5" w:themeColor="accent1" w:themeShade="BF"/>
          <w:sz w:val="24"/>
        </w:rPr>
        <w:t>Consumer</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perceptions</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of</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price</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color w:val="2E74B5" w:themeColor="accent1" w:themeShade="BF"/>
          <w:sz w:val="24"/>
        </w:rPr>
        <w:t>quality</w:t>
      </w:r>
      <w:proofErr w:type="spellEnd"/>
      <w:r>
        <w:rPr>
          <w:rFonts w:ascii="Arial" w:eastAsia="Times New Roman" w:hAnsi="Arial" w:cs="Arial"/>
          <w:color w:val="2E74B5" w:themeColor="accent1" w:themeShade="BF"/>
          <w:sz w:val="24"/>
        </w:rPr>
        <w:t xml:space="preserve">, and </w:t>
      </w:r>
      <w:proofErr w:type="spellStart"/>
      <w:r>
        <w:rPr>
          <w:rFonts w:ascii="Arial" w:eastAsia="Times New Roman" w:hAnsi="Arial" w:cs="Arial"/>
          <w:color w:val="2E74B5" w:themeColor="accent1" w:themeShade="BF"/>
          <w:sz w:val="24"/>
        </w:rPr>
        <w:t>value</w:t>
      </w:r>
      <w:proofErr w:type="spellEnd"/>
      <w:r>
        <w:rPr>
          <w:rFonts w:ascii="Arial" w:eastAsia="Times New Roman" w:hAnsi="Arial" w:cs="Arial"/>
          <w:color w:val="2E74B5" w:themeColor="accent1" w:themeShade="BF"/>
          <w:sz w:val="24"/>
        </w:rPr>
        <w:t xml:space="preserve">. </w:t>
      </w:r>
      <w:proofErr w:type="spellStart"/>
      <w:r>
        <w:rPr>
          <w:rFonts w:ascii="Arial" w:eastAsia="Times New Roman" w:hAnsi="Arial" w:cs="Arial"/>
          <w:i/>
          <w:iCs/>
          <w:color w:val="2E74B5" w:themeColor="accent1" w:themeShade="BF"/>
          <w:sz w:val="24"/>
        </w:rPr>
        <w:t>Journal</w:t>
      </w:r>
      <w:proofErr w:type="spellEnd"/>
      <w:r>
        <w:rPr>
          <w:rFonts w:ascii="Arial" w:eastAsia="Times New Roman" w:hAnsi="Arial" w:cs="Arial"/>
          <w:i/>
          <w:iCs/>
          <w:color w:val="2E74B5" w:themeColor="accent1" w:themeShade="BF"/>
          <w:sz w:val="24"/>
        </w:rPr>
        <w:t xml:space="preserve"> </w:t>
      </w:r>
      <w:proofErr w:type="spellStart"/>
      <w:r>
        <w:rPr>
          <w:rFonts w:ascii="Arial" w:eastAsia="Times New Roman" w:hAnsi="Arial" w:cs="Arial"/>
          <w:i/>
          <w:iCs/>
          <w:color w:val="2E74B5" w:themeColor="accent1" w:themeShade="BF"/>
          <w:sz w:val="24"/>
        </w:rPr>
        <w:t>of</w:t>
      </w:r>
      <w:proofErr w:type="spellEnd"/>
      <w:r>
        <w:rPr>
          <w:rFonts w:ascii="Arial" w:eastAsia="Times New Roman" w:hAnsi="Arial" w:cs="Arial"/>
          <w:i/>
          <w:iCs/>
          <w:color w:val="2E74B5" w:themeColor="accent1" w:themeShade="BF"/>
          <w:sz w:val="24"/>
        </w:rPr>
        <w:t xml:space="preserve"> Marketing, 52</w:t>
      </w:r>
      <w:r>
        <w:rPr>
          <w:rFonts w:ascii="Arial" w:eastAsia="Times New Roman" w:hAnsi="Arial" w:cs="Arial"/>
          <w:color w:val="2E74B5" w:themeColor="accent1" w:themeShade="BF"/>
          <w:sz w:val="24"/>
        </w:rPr>
        <w:t xml:space="preserve">(3), 2–22. </w:t>
      </w:r>
      <w:hyperlink r:id="rId22" w:tgtFrame="_new">
        <w:r w:rsidR="00653A61">
          <w:rPr>
            <w:rStyle w:val="Hipervnculo"/>
            <w:rFonts w:ascii="Arial" w:eastAsia="Times New Roman" w:hAnsi="Arial" w:cs="Arial"/>
            <w:sz w:val="24"/>
          </w:rPr>
          <w:t>https://doi.org/10.1177/002224298805200302</w:t>
        </w:r>
      </w:hyperlink>
    </w:p>
    <w:p w14:paraId="62280CE2" w14:textId="77777777" w:rsidR="00653A61" w:rsidRDefault="00653A61">
      <w:pPr>
        <w:jc w:val="both"/>
        <w:rPr>
          <w:rFonts w:ascii="Arial" w:hAnsi="Arial" w:cs="Arial"/>
          <w:color w:val="2E74B5" w:themeColor="accent1" w:themeShade="BF"/>
          <w:sz w:val="24"/>
          <w:szCs w:val="24"/>
        </w:rPr>
      </w:pPr>
    </w:p>
    <w:p w14:paraId="35832241" w14:textId="77777777" w:rsidR="00653A61" w:rsidRDefault="00653A61">
      <w:pPr>
        <w:jc w:val="both"/>
        <w:rPr>
          <w:rFonts w:ascii="Arial" w:hAnsi="Arial" w:cs="Arial"/>
          <w:color w:val="2E74B5" w:themeColor="accent1" w:themeShade="BF"/>
          <w:sz w:val="24"/>
          <w:szCs w:val="24"/>
        </w:rPr>
      </w:pPr>
    </w:p>
    <w:p w14:paraId="02C5DD87" w14:textId="77777777" w:rsidR="00653A61" w:rsidRDefault="00653A61">
      <w:pPr>
        <w:jc w:val="both"/>
        <w:rPr>
          <w:rFonts w:ascii="Arial" w:hAnsi="Arial" w:cs="Arial"/>
          <w:color w:val="2E74B5" w:themeColor="accent1" w:themeShade="BF"/>
          <w:sz w:val="24"/>
          <w:szCs w:val="24"/>
        </w:rPr>
      </w:pPr>
    </w:p>
    <w:p w14:paraId="7BD02336" w14:textId="77777777" w:rsidR="00653A61" w:rsidRDefault="00653A61">
      <w:pPr>
        <w:rPr>
          <w:rFonts w:ascii="Arial" w:hAnsi="Arial" w:cs="Arial"/>
          <w:color w:val="70AD47" w:themeColor="accent6"/>
          <w:sz w:val="24"/>
          <w:szCs w:val="24"/>
        </w:rPr>
      </w:pPr>
    </w:p>
    <w:p w14:paraId="7AE3BE09" w14:textId="77777777" w:rsidR="00653A61" w:rsidRDefault="00653A61">
      <w:pPr>
        <w:jc w:val="both"/>
        <w:rPr>
          <w:rFonts w:ascii="Arial" w:hAnsi="Arial" w:cs="Arial"/>
          <w:color w:val="70AD47" w:themeColor="accent6"/>
          <w:sz w:val="24"/>
          <w:szCs w:val="24"/>
        </w:rPr>
      </w:pPr>
    </w:p>
    <w:p w14:paraId="0DFE53F0" w14:textId="77777777" w:rsidR="00653A61" w:rsidRDefault="00653A61">
      <w:pPr>
        <w:jc w:val="both"/>
        <w:rPr>
          <w:rFonts w:ascii="Arial" w:hAnsi="Arial" w:cs="Arial"/>
          <w:color w:val="70AD47" w:themeColor="accent6"/>
          <w:sz w:val="24"/>
          <w:szCs w:val="24"/>
        </w:rPr>
      </w:pPr>
    </w:p>
    <w:sectPr w:rsidR="00653A61">
      <w:headerReference w:type="even" r:id="rId23"/>
      <w:headerReference w:type="default" r:id="rId24"/>
      <w:footerReference w:type="even" r:id="rId25"/>
      <w:footerReference w:type="default" r:id="rId26"/>
      <w:headerReference w:type="first" r:id="rId27"/>
      <w:footerReference w:type="first" r:id="rId28"/>
      <w:pgSz w:w="12240" w:h="15840"/>
      <w:pgMar w:top="1417" w:right="1701" w:bottom="1417" w:left="1701"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56F5F" w14:textId="77777777" w:rsidR="0067062A" w:rsidRDefault="0067062A">
      <w:pPr>
        <w:spacing w:after="0" w:line="240" w:lineRule="auto"/>
      </w:pPr>
      <w:r>
        <w:separator/>
      </w:r>
    </w:p>
  </w:endnote>
  <w:endnote w:type="continuationSeparator" w:id="0">
    <w:p w14:paraId="02EF5965" w14:textId="77777777" w:rsidR="0067062A" w:rsidRDefault="00670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docs-Roboto">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97B7E" w14:textId="77777777" w:rsidR="00653A61" w:rsidRDefault="00653A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0C6D" w14:textId="77777777" w:rsidR="00653A61" w:rsidRDefault="00563720">
    <w:pPr>
      <w:pStyle w:val="Piedepgina"/>
      <w:tabs>
        <w:tab w:val="clear" w:pos="4252"/>
        <w:tab w:val="clear" w:pos="8504"/>
        <w:tab w:val="left" w:pos="6420"/>
      </w:tabs>
      <w:jc w:val="center"/>
    </w:pPr>
    <w:r>
      <w:rPr>
        <w:noProof/>
      </w:rPr>
      <w:drawing>
        <wp:inline distT="0" distB="0" distL="0" distR="0" wp14:anchorId="52D5B4CA" wp14:editId="6B8580AC">
          <wp:extent cx="1054100" cy="523875"/>
          <wp:effectExtent l="0" t="0" r="0" b="0"/>
          <wp:docPr id="8" name="Imagen 1692086046" descr="C:\Users\ccoronel\AppData\Local\Microsoft\Windows\INetCache\Content.Word\Logo Firma Corr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692086046" descr="C:\Users\ccoronel\AppData\Local\Microsoft\Windows\INetCache\Content.Word\Logo Firma Correo.png"/>
                  <pic:cNvPicPr>
                    <a:picLocks noChangeAspect="1" noChangeArrowheads="1"/>
                  </pic:cNvPicPr>
                </pic:nvPicPr>
                <pic:blipFill>
                  <a:blip r:embed="rId1"/>
                  <a:srcRect r="38376"/>
                  <a:stretch>
                    <a:fillRect/>
                  </a:stretch>
                </pic:blipFill>
                <pic:spPr bwMode="auto">
                  <a:xfrm>
                    <a:off x="0" y="0"/>
                    <a:ext cx="1054100" cy="52387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4EDC" w14:textId="77777777" w:rsidR="00653A61" w:rsidRDefault="00563720">
    <w:pPr>
      <w:pStyle w:val="Piedepgina"/>
      <w:tabs>
        <w:tab w:val="clear" w:pos="4252"/>
        <w:tab w:val="clear" w:pos="8504"/>
        <w:tab w:val="left" w:pos="6420"/>
      </w:tabs>
      <w:jc w:val="center"/>
    </w:pPr>
    <w:r>
      <w:rPr>
        <w:noProof/>
      </w:rPr>
      <w:drawing>
        <wp:inline distT="0" distB="0" distL="0" distR="0" wp14:anchorId="1A66A48F" wp14:editId="6EC3D3D8">
          <wp:extent cx="1054100" cy="523875"/>
          <wp:effectExtent l="0" t="0" r="0" b="0"/>
          <wp:docPr id="9" name="Imagen 1692086046" descr="C:\Users\ccoronel\AppData\Local\Microsoft\Windows\INetCache\Content.Word\Logo Firma Corr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692086046" descr="C:\Users\ccoronel\AppData\Local\Microsoft\Windows\INetCache\Content.Word\Logo Firma Correo.png"/>
                  <pic:cNvPicPr>
                    <a:picLocks noChangeAspect="1" noChangeArrowheads="1"/>
                  </pic:cNvPicPr>
                </pic:nvPicPr>
                <pic:blipFill>
                  <a:blip r:embed="rId1"/>
                  <a:srcRect r="38376"/>
                  <a:stretch>
                    <a:fillRect/>
                  </a:stretch>
                </pic:blipFill>
                <pic:spPr bwMode="auto">
                  <a:xfrm>
                    <a:off x="0" y="0"/>
                    <a:ext cx="1054100" cy="5238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8D0D4" w14:textId="77777777" w:rsidR="0067062A" w:rsidRDefault="0067062A">
      <w:pPr>
        <w:spacing w:after="0" w:line="240" w:lineRule="auto"/>
      </w:pPr>
      <w:r>
        <w:separator/>
      </w:r>
    </w:p>
  </w:footnote>
  <w:footnote w:type="continuationSeparator" w:id="0">
    <w:p w14:paraId="657F5400" w14:textId="77777777" w:rsidR="0067062A" w:rsidRDefault="00670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E95F" w14:textId="77777777" w:rsidR="00653A61" w:rsidRDefault="00563720">
    <w:pPr>
      <w:pStyle w:val="Encabezado"/>
      <w:jc w:val="right"/>
      <w:rPr>
        <w:rFonts w:ascii="Arial" w:hAnsi="Arial" w:cs="Arial"/>
        <w:sz w:val="16"/>
      </w:rPr>
    </w:pPr>
    <w:r>
      <w:rPr>
        <w:noProof/>
      </w:rPr>
      <w:drawing>
        <wp:anchor distT="0" distB="0" distL="0" distR="0" simplePos="0" relativeHeight="251659776" behindDoc="1" locked="0" layoutInCell="1" allowOverlap="1" wp14:anchorId="32904E94" wp14:editId="65234BD8">
          <wp:simplePos x="0" y="0"/>
          <wp:positionH relativeFrom="column">
            <wp:posOffset>-114300</wp:posOffset>
          </wp:positionH>
          <wp:positionV relativeFrom="paragraph">
            <wp:posOffset>-235585</wp:posOffset>
          </wp:positionV>
          <wp:extent cx="2169795" cy="530225"/>
          <wp:effectExtent l="0" t="0" r="0" b="0"/>
          <wp:wrapNone/>
          <wp:docPr id="3" name="Imagen4" descr="Macintosh HD:Users:dricciul:Desktop:EDITORIAL 2015:Revistas:Working papers:WPMGEM corni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4" descr="Macintosh HD:Users:dricciul:Desktop:EDITORIAL 2015:Revistas:Working papers:WPMGEM cornisa.png"/>
                  <pic:cNvPicPr>
                    <a:picLocks noChangeAspect="1" noChangeArrowheads="1"/>
                  </pic:cNvPicPr>
                </pic:nvPicPr>
                <pic:blipFill>
                  <a:blip r:embed="rId1"/>
                  <a:stretch>
                    <a:fillRect/>
                  </a:stretch>
                </pic:blipFill>
                <pic:spPr bwMode="auto">
                  <a:xfrm>
                    <a:off x="0" y="0"/>
                    <a:ext cx="2169795" cy="530225"/>
                  </a:xfrm>
                  <a:prstGeom prst="rect">
                    <a:avLst/>
                  </a:prstGeom>
                </pic:spPr>
              </pic:pic>
            </a:graphicData>
          </a:graphic>
        </wp:anchor>
      </w:drawing>
    </w:r>
    <w:r>
      <w:rPr>
        <w:rFonts w:ascii="Arial" w:hAnsi="Arial" w:cs="Arial"/>
        <w:sz w:val="16"/>
      </w:rPr>
      <w:t>INSTITUCIÓN UNIVERSITARIA POLITÉCNICO GRANCOLOMBIANO</w:t>
    </w:r>
    <w:r>
      <w:rPr>
        <w:rFonts w:ascii="Arial" w:hAnsi="Arial" w:cs="Arial"/>
        <w:sz w:val="16"/>
      </w:rPr>
      <w:br/>
      <w:t>MAESTRÍA EN GERENCIA ESTRATÉGICA DE MERCADEO</w:t>
    </w:r>
    <w:r>
      <w:rPr>
        <w:rFonts w:ascii="Arial" w:hAnsi="Arial" w:cs="Arial"/>
        <w:sz w:val="16"/>
      </w:rPr>
      <w:br/>
      <w:t>GRUPO DE INVESTIGACIÓN MERCADEO I+2</w:t>
    </w:r>
  </w:p>
  <w:p w14:paraId="53B3E024" w14:textId="77777777" w:rsidR="00653A61" w:rsidRDefault="00653A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F098" w14:textId="77777777" w:rsidR="00653A61" w:rsidRDefault="00563720">
    <w:pPr>
      <w:pStyle w:val="Encabezado"/>
      <w:jc w:val="right"/>
      <w:rPr>
        <w:rFonts w:ascii="Arial" w:hAnsi="Arial" w:cs="Arial"/>
        <w:sz w:val="16"/>
      </w:rPr>
    </w:pPr>
    <w:r>
      <w:rPr>
        <w:noProof/>
      </w:rPr>
      <mc:AlternateContent>
        <mc:Choice Requires="wps">
          <w:drawing>
            <wp:anchor distT="0" distB="12700" distL="0" distR="0" simplePos="0" relativeHeight="251655680" behindDoc="1" locked="0" layoutInCell="1" allowOverlap="1" wp14:anchorId="308FDE3A" wp14:editId="162193A2">
              <wp:simplePos x="0" y="0"/>
              <wp:positionH relativeFrom="column">
                <wp:posOffset>-1142365</wp:posOffset>
              </wp:positionH>
              <wp:positionV relativeFrom="paragraph">
                <wp:posOffset>-464185</wp:posOffset>
              </wp:positionV>
              <wp:extent cx="7886065" cy="571500"/>
              <wp:effectExtent l="0" t="0" r="0" b="12700"/>
              <wp:wrapNone/>
              <wp:docPr id="4" name="Cuadro de texto 4"/>
              <wp:cNvGraphicFramePr/>
              <a:graphic xmlns:a="http://schemas.openxmlformats.org/drawingml/2006/main">
                <a:graphicData uri="http://schemas.microsoft.com/office/word/2010/wordprocessingShape">
                  <wps:wsp>
                    <wps:cNvSpPr/>
                    <wps:spPr>
                      <a:xfrm>
                        <a:off x="0" y="0"/>
                        <a:ext cx="7886160" cy="571680"/>
                      </a:xfrm>
                      <a:prstGeom prst="rect">
                        <a:avLst/>
                      </a:prstGeom>
                      <a:solidFill>
                        <a:schemeClr val="accent1">
                          <a:lumMod val="75000"/>
                        </a:schemeClr>
                      </a:solidFill>
                      <a:ln w="0">
                        <a:noFill/>
                      </a:ln>
                    </wps:spPr>
                    <wps:style>
                      <a:lnRef idx="0">
                        <a:schemeClr val="accent1"/>
                      </a:lnRef>
                      <a:fillRef idx="0">
                        <a:schemeClr val="accent1"/>
                      </a:fillRef>
                      <a:effectRef idx="0">
                        <a:schemeClr val="accent1"/>
                      </a:effectRef>
                      <a:fontRef idx="minor"/>
                    </wps:style>
                    <wps:txbx>
                      <w:txbxContent>
                        <w:p w14:paraId="69A2F3C3" w14:textId="77777777" w:rsidR="00653A61" w:rsidRDefault="00653A61">
                          <w:pPr>
                            <w:pStyle w:val="Contenidodelmarcouser"/>
                            <w:jc w:val="right"/>
                            <w:rPr>
                              <w:color w:val="000000"/>
                            </w:rPr>
                          </w:pPr>
                        </w:p>
                        <w:p w14:paraId="2B6E6811" w14:textId="77777777" w:rsidR="00653A61" w:rsidRDefault="00563720">
                          <w:pPr>
                            <w:pStyle w:val="Contenidodelmarcouser"/>
                            <w:jc w:val="right"/>
                            <w:rPr>
                              <w:color w:val="FFFFFF" w:themeColor="background1"/>
                            </w:rPr>
                          </w:pPr>
                          <w:r>
                            <w:rPr>
                              <w:color w:val="FFFFFF" w:themeColor="background1"/>
                            </w:rPr>
                            <w:t>MAESTRÍA EN GERENCIA ESTRATÉGICA DE MERCADEO</w:t>
                          </w:r>
                        </w:p>
                      </w:txbxContent>
                    </wps:txbx>
                    <wps:bodyPr anchor="t">
                      <a:prstTxWarp prst="textNoShape">
                        <a:avLst/>
                      </a:prstTxWarp>
                      <a:noAutofit/>
                    </wps:bodyPr>
                  </wps:wsp>
                </a:graphicData>
              </a:graphic>
            </wp:anchor>
          </w:drawing>
        </mc:Choice>
        <mc:Fallback>
          <w:pict>
            <v:rect w14:anchorId="308FDE3A" id="Cuadro de texto 4" o:spid="_x0000_s1026" style="position:absolute;left:0;text-align:left;margin-left:-89.95pt;margin-top:-36.55pt;width:620.95pt;height:45pt;z-index:-251660800;visibility:visible;mso-wrap-style:square;mso-wrap-distance-left:0;mso-wrap-distance-top:0;mso-wrap-distance-right:0;mso-wrap-distance-bottom: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" fillcolor="#2e74b5 [2404]" stroked="f" strokeweight="0">
              <v:textbox>
                <w:txbxContent>
                  <w:p w14:paraId="69A2F3C3" w14:textId="77777777" w:rsidR="00653A61" w:rsidRDefault="00653A61">
                    <w:pPr>
                      <w:pStyle w:val="Contenidodelmarcouser"/>
                      <w:jc w:val="right"/>
                      <w:rPr>
                        <w:color w:val="000000"/>
                      </w:rPr>
                    </w:pPr>
                  </w:p>
                  <w:p w14:paraId="2B6E6811" w14:textId="77777777" w:rsidR="00653A61" w:rsidRDefault="00563720">
                    <w:pPr>
                      <w:pStyle w:val="Contenidodelmarcouser"/>
                      <w:jc w:val="right"/>
                      <w:rPr>
                        <w:color w:val="FFFFFF" w:themeColor="background1"/>
                      </w:rPr>
                    </w:pPr>
                    <w:r>
                      <w:rPr>
                        <w:color w:val="FFFFFF" w:themeColor="background1"/>
                      </w:rPr>
                      <w:t>MAESTRÍA EN GERENCIA ESTRATÉGICA DE MERCADEO</w:t>
                    </w:r>
                  </w:p>
                </w:txbxContent>
              </v:textbox>
            </v:rect>
          </w:pict>
        </mc:Fallback>
      </mc:AlternateContent>
    </w:r>
    <w:r>
      <w:rPr>
        <w:noProof/>
      </w:rPr>
      <w:drawing>
        <wp:anchor distT="0" distB="0" distL="0" distR="0" simplePos="0" relativeHeight="251657728" behindDoc="1" locked="0" layoutInCell="1" allowOverlap="1" wp14:anchorId="2129727D" wp14:editId="4E19E792">
          <wp:simplePos x="0" y="0"/>
          <wp:positionH relativeFrom="column">
            <wp:posOffset>-1028700</wp:posOffset>
          </wp:positionH>
          <wp:positionV relativeFrom="paragraph">
            <wp:posOffset>-464185</wp:posOffset>
          </wp:positionV>
          <wp:extent cx="2857500" cy="699770"/>
          <wp:effectExtent l="0" t="0" r="0" b="0"/>
          <wp:wrapNone/>
          <wp:docPr id="5" name="Imagen5" descr="Macintosh HD:Users:dricciul:Desktop:EDITORIAL 2015:Revistas:Working papers:WPMGEM cornis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5" descr="Macintosh HD:Users:dricciul:Desktop:EDITORIAL 2015:Revistas:Working papers:WPMGEM cornisaW.png"/>
                  <pic:cNvPicPr>
                    <a:picLocks noChangeAspect="1" noChangeArrowheads="1"/>
                  </pic:cNvPicPr>
                </pic:nvPicPr>
                <pic:blipFill>
                  <a:blip r:embed="rId1"/>
                  <a:stretch>
                    <a:fillRect/>
                  </a:stretch>
                </pic:blipFill>
                <pic:spPr bwMode="auto">
                  <a:xfrm>
                    <a:off x="0" y="0"/>
                    <a:ext cx="2857500" cy="699770"/>
                  </a:xfrm>
                  <a:prstGeom prst="rect">
                    <a:avLst/>
                  </a:prstGeom>
                  <a:noFill/>
                </pic:spPr>
              </pic:pic>
            </a:graphicData>
          </a:graphic>
        </wp:anchor>
      </w:drawing>
    </w:r>
    <w:r>
      <w:rPr>
        <w:rFonts w:ascii="Arial" w:hAnsi="Arial" w:cs="Arial"/>
        <w:color w:val="FFFFFF" w:themeColor="background1"/>
        <w:sz w:val="16"/>
      </w:rPr>
      <w:t>MAESTR</w:t>
    </w:r>
  </w:p>
  <w:p w14:paraId="3626DBB3" w14:textId="77777777" w:rsidR="00653A61" w:rsidRDefault="00563720">
    <w:pPr>
      <w:pStyle w:val="Encabezado"/>
      <w:jc w:val="center"/>
      <w:rPr>
        <w:rFonts w:ascii="Arial" w:hAnsi="Arial" w:cs="Arial"/>
        <w:sz w:val="16"/>
      </w:rPr>
    </w:pPr>
    <w:r>
      <w:rPr>
        <w:rFonts w:ascii="Arial" w:hAnsi="Arial" w:cs="Arial"/>
        <w:sz w:val="16"/>
      </w:rPr>
      <w:br/>
    </w:r>
  </w:p>
  <w:p w14:paraId="0BC72BC3" w14:textId="77777777" w:rsidR="00653A61" w:rsidRDefault="00653A61">
    <w:pPr>
      <w:pStyle w:val="Encabezado"/>
      <w:rPr>
        <w:rFonts w:ascii="Arial" w:hAnsi="Arial" w:cs="Arial"/>
        <w:sz w:val="16"/>
      </w:rPr>
    </w:pPr>
  </w:p>
  <w:p w14:paraId="72E6811F" w14:textId="77777777" w:rsidR="00653A61" w:rsidRDefault="00653A61">
    <w:pPr>
      <w:pStyle w:val="Encabezado"/>
      <w:rPr>
        <w:rFonts w:ascii="Arial" w:hAnsi="Arial" w:cs="Arial"/>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0CE3" w14:textId="77777777" w:rsidR="00653A61" w:rsidRDefault="00563720">
    <w:pPr>
      <w:pStyle w:val="Encabezado"/>
      <w:jc w:val="right"/>
      <w:rPr>
        <w:rFonts w:ascii="Arial" w:hAnsi="Arial" w:cs="Arial"/>
        <w:sz w:val="16"/>
      </w:rPr>
    </w:pPr>
    <w:r>
      <w:rPr>
        <w:noProof/>
      </w:rPr>
      <mc:AlternateContent>
        <mc:Choice Requires="wps">
          <w:drawing>
            <wp:anchor distT="0" distB="12700" distL="0" distR="0" simplePos="0" relativeHeight="251656704" behindDoc="1" locked="0" layoutInCell="1" allowOverlap="1" wp14:anchorId="308FDE3A" wp14:editId="7BA637C6">
              <wp:simplePos x="0" y="0"/>
              <wp:positionH relativeFrom="column">
                <wp:posOffset>-1142365</wp:posOffset>
              </wp:positionH>
              <wp:positionV relativeFrom="paragraph">
                <wp:posOffset>-464185</wp:posOffset>
              </wp:positionV>
              <wp:extent cx="7886065" cy="571500"/>
              <wp:effectExtent l="0" t="0" r="0" b="12700"/>
              <wp:wrapNone/>
              <wp:docPr id="6" name="Cuadro de texto 4"/>
              <wp:cNvGraphicFramePr/>
              <a:graphic xmlns:a="http://schemas.openxmlformats.org/drawingml/2006/main">
                <a:graphicData uri="http://schemas.microsoft.com/office/word/2010/wordprocessingShape">
                  <wps:wsp>
                    <wps:cNvSpPr/>
                    <wps:spPr>
                      <a:xfrm>
                        <a:off x="0" y="0"/>
                        <a:ext cx="7886160" cy="571680"/>
                      </a:xfrm>
                      <a:prstGeom prst="rect">
                        <a:avLst/>
                      </a:prstGeom>
                      <a:solidFill>
                        <a:schemeClr val="accent1">
                          <a:lumMod val="75000"/>
                        </a:schemeClr>
                      </a:solidFill>
                      <a:ln w="0">
                        <a:noFill/>
                      </a:ln>
                    </wps:spPr>
                    <wps:style>
                      <a:lnRef idx="0">
                        <a:schemeClr val="accent1"/>
                      </a:lnRef>
                      <a:fillRef idx="0">
                        <a:schemeClr val="accent1"/>
                      </a:fillRef>
                      <a:effectRef idx="0">
                        <a:schemeClr val="accent1"/>
                      </a:effectRef>
                      <a:fontRef idx="minor"/>
                    </wps:style>
                    <wps:txbx>
                      <w:txbxContent>
                        <w:p w14:paraId="6B4FD77F" w14:textId="77777777" w:rsidR="00653A61" w:rsidRDefault="00653A61">
                          <w:pPr>
                            <w:pStyle w:val="Contenidodelmarcouser"/>
                            <w:jc w:val="right"/>
                            <w:rPr>
                              <w:color w:val="000000"/>
                            </w:rPr>
                          </w:pPr>
                        </w:p>
                        <w:p w14:paraId="710B12ED" w14:textId="77777777" w:rsidR="00653A61" w:rsidRDefault="00563720">
                          <w:pPr>
                            <w:pStyle w:val="Contenidodelmarcouser"/>
                            <w:jc w:val="right"/>
                            <w:rPr>
                              <w:color w:val="FFFFFF" w:themeColor="background1"/>
                            </w:rPr>
                          </w:pPr>
                          <w:r>
                            <w:rPr>
                              <w:color w:val="FFFFFF" w:themeColor="background1"/>
                            </w:rPr>
                            <w:t>MAESTRÍA EN GERENCIA ESTRATÉGICA DE MERCADEO</w:t>
                          </w:r>
                        </w:p>
                      </w:txbxContent>
                    </wps:txbx>
                    <wps:bodyPr anchor="t">
                      <a:prstTxWarp prst="textNoShape">
                        <a:avLst/>
                      </a:prstTxWarp>
                      <a:noAutofit/>
                    </wps:bodyPr>
                  </wps:wsp>
                </a:graphicData>
              </a:graphic>
            </wp:anchor>
          </w:drawing>
        </mc:Choice>
        <mc:Fallback>
          <w:pict>
            <v:rect w14:anchorId="308FDE3A" id="_x0000_s1027" style="position:absolute;left:0;text-align:left;margin-left:-89.95pt;margin-top:-36.55pt;width:620.95pt;height:45pt;z-index:-251659776;visibility:visible;mso-wrap-style:square;mso-wrap-distance-left:0;mso-wrap-distance-top:0;mso-wrap-distance-right:0;mso-wrap-distance-bottom: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" fillcolor="#2e74b5 [2404]" stroked="f" strokeweight="0">
              <v:textbox>
                <w:txbxContent>
                  <w:p w14:paraId="6B4FD77F" w14:textId="77777777" w:rsidR="00653A61" w:rsidRDefault="00653A61">
                    <w:pPr>
                      <w:pStyle w:val="Contenidodelmarcouser"/>
                      <w:jc w:val="right"/>
                      <w:rPr>
                        <w:color w:val="000000"/>
                      </w:rPr>
                    </w:pPr>
                  </w:p>
                  <w:p w14:paraId="710B12ED" w14:textId="77777777" w:rsidR="00653A61" w:rsidRDefault="00563720">
                    <w:pPr>
                      <w:pStyle w:val="Contenidodelmarcouser"/>
                      <w:jc w:val="right"/>
                      <w:rPr>
                        <w:color w:val="FFFFFF" w:themeColor="background1"/>
                      </w:rPr>
                    </w:pPr>
                    <w:r>
                      <w:rPr>
                        <w:color w:val="FFFFFF" w:themeColor="background1"/>
                      </w:rPr>
                      <w:t>MAESTRÍA EN GERENCIA ESTRATÉGICA DE MERCADEO</w:t>
                    </w:r>
                  </w:p>
                </w:txbxContent>
              </v:textbox>
            </v:rect>
          </w:pict>
        </mc:Fallback>
      </mc:AlternateContent>
    </w:r>
    <w:r>
      <w:rPr>
        <w:noProof/>
      </w:rPr>
      <w:drawing>
        <wp:anchor distT="0" distB="0" distL="0" distR="0" simplePos="0" relativeHeight="251658752" behindDoc="1" locked="0" layoutInCell="1" allowOverlap="1" wp14:anchorId="32B69959" wp14:editId="2225ACE5">
          <wp:simplePos x="0" y="0"/>
          <wp:positionH relativeFrom="column">
            <wp:posOffset>-1028700</wp:posOffset>
          </wp:positionH>
          <wp:positionV relativeFrom="paragraph">
            <wp:posOffset>-464185</wp:posOffset>
          </wp:positionV>
          <wp:extent cx="2857500" cy="699770"/>
          <wp:effectExtent l="0" t="0" r="0" b="0"/>
          <wp:wrapNone/>
          <wp:docPr id="7" name="Imagen5" descr="Macintosh HD:Users:dricciul:Desktop:EDITORIAL 2015:Revistas:Working papers:WPMGEM cornis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5" descr="Macintosh HD:Users:dricciul:Desktop:EDITORIAL 2015:Revistas:Working papers:WPMGEM cornisaW.png"/>
                  <pic:cNvPicPr>
                    <a:picLocks noChangeAspect="1" noChangeArrowheads="1"/>
                  </pic:cNvPicPr>
                </pic:nvPicPr>
                <pic:blipFill>
                  <a:blip r:embed="rId1"/>
                  <a:stretch>
                    <a:fillRect/>
                  </a:stretch>
                </pic:blipFill>
                <pic:spPr bwMode="auto">
                  <a:xfrm>
                    <a:off x="0" y="0"/>
                    <a:ext cx="2857500" cy="699770"/>
                  </a:xfrm>
                  <a:prstGeom prst="rect">
                    <a:avLst/>
                  </a:prstGeom>
                  <a:noFill/>
                </pic:spPr>
              </pic:pic>
            </a:graphicData>
          </a:graphic>
        </wp:anchor>
      </w:drawing>
    </w:r>
    <w:r>
      <w:rPr>
        <w:rFonts w:ascii="Arial" w:hAnsi="Arial" w:cs="Arial"/>
        <w:color w:val="FFFFFF" w:themeColor="background1"/>
        <w:sz w:val="16"/>
      </w:rPr>
      <w:t>MAESTR</w:t>
    </w:r>
  </w:p>
  <w:p w14:paraId="3DD04252" w14:textId="77777777" w:rsidR="00653A61" w:rsidRDefault="00563720">
    <w:pPr>
      <w:pStyle w:val="Encabezado"/>
      <w:jc w:val="center"/>
      <w:rPr>
        <w:rFonts w:ascii="Arial" w:hAnsi="Arial" w:cs="Arial"/>
        <w:sz w:val="16"/>
      </w:rPr>
    </w:pPr>
    <w:r>
      <w:rPr>
        <w:rFonts w:ascii="Arial" w:hAnsi="Arial" w:cs="Arial"/>
        <w:sz w:val="16"/>
      </w:rPr>
      <w:br/>
    </w:r>
  </w:p>
  <w:p w14:paraId="798D262B" w14:textId="77777777" w:rsidR="00653A61" w:rsidRDefault="00653A61">
    <w:pPr>
      <w:pStyle w:val="Encabezado"/>
      <w:rPr>
        <w:rFonts w:ascii="Arial" w:hAnsi="Arial" w:cs="Arial"/>
        <w:sz w:val="16"/>
      </w:rPr>
    </w:pPr>
  </w:p>
  <w:p w14:paraId="36FE2C6B" w14:textId="77777777" w:rsidR="00653A61" w:rsidRDefault="00653A61">
    <w:pPr>
      <w:pStyle w:val="Encabezado"/>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E3E1A"/>
    <w:multiLevelType w:val="multilevel"/>
    <w:tmpl w:val="7E249A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19A03C6"/>
    <w:multiLevelType w:val="multilevel"/>
    <w:tmpl w:val="C72A30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39E5B56"/>
    <w:multiLevelType w:val="multilevel"/>
    <w:tmpl w:val="8AF2FE0A"/>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AC243CF"/>
    <w:multiLevelType w:val="multilevel"/>
    <w:tmpl w:val="1FAA46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562202A"/>
    <w:multiLevelType w:val="multilevel"/>
    <w:tmpl w:val="35A096BC"/>
    <w:lvl w:ilvl="0">
      <w:start w:val="1"/>
      <w:numFmt w:val="decimal"/>
      <w:lvlText w:val="%1."/>
      <w:lvlJc w:val="left"/>
      <w:pPr>
        <w:tabs>
          <w:tab w:val="num" w:pos="0"/>
        </w:tabs>
        <w:ind w:left="1070" w:hanging="71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B352088"/>
    <w:multiLevelType w:val="multilevel"/>
    <w:tmpl w:val="649E7284"/>
    <w:lvl w:ilvl="0">
      <w:start w:val="1"/>
      <w:numFmt w:val="decimal"/>
      <w:lvlText w:val="%1."/>
      <w:lvlJc w:val="left"/>
      <w:pPr>
        <w:tabs>
          <w:tab w:val="num" w:pos="0"/>
        </w:tabs>
        <w:ind w:left="1070" w:hanging="71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C30255F"/>
    <w:multiLevelType w:val="multilevel"/>
    <w:tmpl w:val="C3F8BB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F511C73"/>
    <w:multiLevelType w:val="multilevel"/>
    <w:tmpl w:val="5AA26A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F5369BE"/>
    <w:multiLevelType w:val="multilevel"/>
    <w:tmpl w:val="F2540F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8DF20BB"/>
    <w:multiLevelType w:val="multilevel"/>
    <w:tmpl w:val="A5A2D5A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9222F02"/>
    <w:multiLevelType w:val="multilevel"/>
    <w:tmpl w:val="39445B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A3F617B"/>
    <w:multiLevelType w:val="multilevel"/>
    <w:tmpl w:val="97CA861C"/>
    <w:lvl w:ilvl="0">
      <w:numFmt w:val="bullet"/>
      <w:lvlText w:val="•"/>
      <w:lvlJc w:val="left"/>
      <w:pPr>
        <w:tabs>
          <w:tab w:val="num" w:pos="0"/>
        </w:tabs>
        <w:ind w:left="1070" w:hanging="71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2C55BD9"/>
    <w:multiLevelType w:val="multilevel"/>
    <w:tmpl w:val="C5EC8C9A"/>
    <w:lvl w:ilvl="0">
      <w:numFmt w:val="bullet"/>
      <w:lvlText w:val="•"/>
      <w:lvlJc w:val="left"/>
      <w:pPr>
        <w:tabs>
          <w:tab w:val="num" w:pos="0"/>
        </w:tabs>
        <w:ind w:left="1070" w:hanging="71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9DB4793"/>
    <w:multiLevelType w:val="multilevel"/>
    <w:tmpl w:val="18F2729A"/>
    <w:lvl w:ilvl="0">
      <w:start w:val="1"/>
      <w:numFmt w:val="decimal"/>
      <w:lvlText w:val="%1."/>
      <w:lvlJc w:val="left"/>
      <w:pPr>
        <w:tabs>
          <w:tab w:val="num" w:pos="0"/>
        </w:tabs>
        <w:ind w:left="1070" w:hanging="71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704F545A"/>
    <w:multiLevelType w:val="multilevel"/>
    <w:tmpl w:val="9D6477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C157403"/>
    <w:multiLevelType w:val="multilevel"/>
    <w:tmpl w:val="B4BAF6D0"/>
    <w:lvl w:ilvl="0">
      <w:start w:val="1"/>
      <w:numFmt w:val="decimal"/>
      <w:lvlText w:val="%1"/>
      <w:lvlJc w:val="left"/>
      <w:pPr>
        <w:tabs>
          <w:tab w:val="num" w:pos="0"/>
        </w:tabs>
        <w:ind w:left="370" w:hanging="370"/>
      </w:pPr>
    </w:lvl>
    <w:lvl w:ilvl="1">
      <w:start w:val="1"/>
      <w:numFmt w:val="decimal"/>
      <w:lvlText w:val="%1.%2"/>
      <w:lvlJc w:val="left"/>
      <w:pPr>
        <w:tabs>
          <w:tab w:val="num" w:pos="0"/>
        </w:tabs>
        <w:ind w:left="370" w:hanging="37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6" w15:restartNumberingAfterBreak="0">
    <w:nsid w:val="7CBF6C99"/>
    <w:multiLevelType w:val="multilevel"/>
    <w:tmpl w:val="F6B41F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882284020">
    <w:abstractNumId w:val="11"/>
  </w:num>
  <w:num w:numId="2" w16cid:durableId="1506557163">
    <w:abstractNumId w:val="15"/>
  </w:num>
  <w:num w:numId="3" w16cid:durableId="1521964767">
    <w:abstractNumId w:val="7"/>
  </w:num>
  <w:num w:numId="4" w16cid:durableId="1856962845">
    <w:abstractNumId w:val="4"/>
  </w:num>
  <w:num w:numId="5" w16cid:durableId="1174613706">
    <w:abstractNumId w:val="13"/>
  </w:num>
  <w:num w:numId="6" w16cid:durableId="1976594684">
    <w:abstractNumId w:val="5"/>
  </w:num>
  <w:num w:numId="7" w16cid:durableId="993069204">
    <w:abstractNumId w:val="12"/>
  </w:num>
  <w:num w:numId="8" w16cid:durableId="1744833887">
    <w:abstractNumId w:val="8"/>
  </w:num>
  <w:num w:numId="9" w16cid:durableId="433015693">
    <w:abstractNumId w:val="0"/>
  </w:num>
  <w:num w:numId="10" w16cid:durableId="1589385553">
    <w:abstractNumId w:val="3"/>
  </w:num>
  <w:num w:numId="11" w16cid:durableId="2134320884">
    <w:abstractNumId w:val="1"/>
  </w:num>
  <w:num w:numId="12" w16cid:durableId="301355031">
    <w:abstractNumId w:val="14"/>
  </w:num>
  <w:num w:numId="13" w16cid:durableId="1989361064">
    <w:abstractNumId w:val="6"/>
  </w:num>
  <w:num w:numId="14" w16cid:durableId="1267079723">
    <w:abstractNumId w:val="10"/>
  </w:num>
  <w:num w:numId="15" w16cid:durableId="717631383">
    <w:abstractNumId w:val="16"/>
  </w:num>
  <w:num w:numId="16" w16cid:durableId="2105299147">
    <w:abstractNumId w:val="2"/>
  </w:num>
  <w:num w:numId="17" w16cid:durableId="16678283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A61"/>
    <w:rsid w:val="00036DB0"/>
    <w:rsid w:val="000F3BD1"/>
    <w:rsid w:val="00362CFE"/>
    <w:rsid w:val="003B16BB"/>
    <w:rsid w:val="00563720"/>
    <w:rsid w:val="005C7CE9"/>
    <w:rsid w:val="00653A61"/>
    <w:rsid w:val="0067062A"/>
    <w:rsid w:val="00804FF7"/>
    <w:rsid w:val="009D095F"/>
    <w:rsid w:val="00A24BD6"/>
    <w:rsid w:val="00A340B3"/>
    <w:rsid w:val="00B945B0"/>
    <w:rsid w:val="00BC76C0"/>
    <w:rsid w:val="00C11C62"/>
    <w:rsid w:val="00C308CC"/>
    <w:rsid w:val="00CA4BB6"/>
    <w:rsid w:val="00DA21A8"/>
    <w:rsid w:val="00DB7EDD"/>
    <w:rsid w:val="00E82335"/>
    <w:rsid w:val="00F52352"/>
  </w:rsids>
  <m:mathPr>
    <m:mathFont m:val="Cambria Math"/>
    <m:brkBin m:val="before"/>
    <m:brkBinSub m:val="--"/>
    <m:smallFrac m:val="0"/>
    <m:dispDef/>
    <m:lMargin m:val="0"/>
    <m:rMargin m:val="0"/>
    <m:defJc m:val="centerGroup"/>
    <m:wrapIndent m:val="1440"/>
    <m:intLim m:val="subSup"/>
    <m:naryLim m:val="undOvr"/>
  </m:mathPr>
  <w:themeFontLang w:val="es-CO"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55CE"/>
  <w15:docId w15:val="{C6248911-621C-44CE-AF54-9A8D09DA6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0F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comentarioCar">
    <w:name w:val="Texto comentario Car"/>
    <w:basedOn w:val="Fuentedeprrafopredeter"/>
    <w:link w:val="Textocomentario"/>
    <w:uiPriority w:val="99"/>
    <w:semiHidden/>
    <w:qFormat/>
    <w:rsid w:val="001229DF"/>
    <w:rPr>
      <w:sz w:val="20"/>
      <w:szCs w:val="20"/>
    </w:rPr>
  </w:style>
  <w:style w:type="character" w:styleId="Refdecomentario">
    <w:name w:val="annotation reference"/>
    <w:basedOn w:val="Fuentedeprrafopredeter"/>
    <w:uiPriority w:val="99"/>
    <w:semiHidden/>
    <w:unhideWhenUsed/>
    <w:qFormat/>
    <w:rsid w:val="001229DF"/>
    <w:rPr>
      <w:sz w:val="16"/>
      <w:szCs w:val="16"/>
    </w:rPr>
  </w:style>
  <w:style w:type="character" w:customStyle="1" w:styleId="TextodegloboCar">
    <w:name w:val="Texto de globo Car"/>
    <w:basedOn w:val="Fuentedeprrafopredeter"/>
    <w:link w:val="Textodeglobo"/>
    <w:uiPriority w:val="99"/>
    <w:semiHidden/>
    <w:qFormat/>
    <w:rsid w:val="001229DF"/>
    <w:rPr>
      <w:rFonts w:ascii="Segoe UI" w:hAnsi="Segoe UI" w:cs="Segoe UI"/>
      <w:sz w:val="18"/>
      <w:szCs w:val="18"/>
    </w:rPr>
  </w:style>
  <w:style w:type="character" w:customStyle="1" w:styleId="EncabezadoCar">
    <w:name w:val="Encabezado Car"/>
    <w:basedOn w:val="Fuentedeprrafopredeter"/>
    <w:link w:val="Encabezado"/>
    <w:uiPriority w:val="99"/>
    <w:qFormat/>
    <w:rsid w:val="0053590F"/>
  </w:style>
  <w:style w:type="character" w:customStyle="1" w:styleId="PiedepginaCar">
    <w:name w:val="Pie de página Car"/>
    <w:basedOn w:val="Fuentedeprrafopredeter"/>
    <w:link w:val="Piedepgina"/>
    <w:uiPriority w:val="99"/>
    <w:qFormat/>
    <w:rsid w:val="0053590F"/>
  </w:style>
  <w:style w:type="character" w:styleId="Hipervnculo">
    <w:name w:val="Hyperlink"/>
    <w:basedOn w:val="Fuentedeprrafopredeter"/>
    <w:uiPriority w:val="99"/>
    <w:unhideWhenUsed/>
    <w:rsid w:val="00D113BF"/>
    <w:rPr>
      <w:color w:val="0563C1" w:themeColor="hyperlink"/>
      <w:u w:val="single"/>
    </w:rPr>
  </w:style>
  <w:style w:type="character" w:styleId="Mencinsinresolver">
    <w:name w:val="Unresolved Mention"/>
    <w:basedOn w:val="Fuentedeprrafopredeter"/>
    <w:uiPriority w:val="99"/>
    <w:semiHidden/>
    <w:unhideWhenUsed/>
    <w:qFormat/>
    <w:rsid w:val="00D113BF"/>
    <w:rPr>
      <w:color w:val="605E5C"/>
      <w:shd w:val="clear" w:color="auto" w:fill="E1DFDD"/>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next w:val="Normal"/>
    <w:uiPriority w:val="35"/>
    <w:unhideWhenUsed/>
    <w:qFormat/>
    <w:rsid w:val="00774EB3"/>
    <w:pPr>
      <w:spacing w:after="200" w:line="240" w:lineRule="auto"/>
    </w:pPr>
    <w:rPr>
      <w:i/>
      <w:iCs/>
      <w:color w:val="44546A" w:themeColor="text2"/>
      <w:sz w:val="18"/>
      <w:szCs w:val="18"/>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Prrafodelista">
    <w:name w:val="List Paragraph"/>
    <w:basedOn w:val="Normal"/>
    <w:uiPriority w:val="34"/>
    <w:qFormat/>
    <w:rsid w:val="00D03CDE"/>
    <w:pPr>
      <w:ind w:left="720"/>
      <w:contextualSpacing/>
    </w:pPr>
  </w:style>
  <w:style w:type="paragraph" w:styleId="NormalWeb">
    <w:name w:val="Normal (Web)"/>
    <w:basedOn w:val="Normal"/>
    <w:uiPriority w:val="99"/>
    <w:unhideWhenUsed/>
    <w:qFormat/>
    <w:rsid w:val="00774EB3"/>
    <w:pPr>
      <w:spacing w:beforeAutospacing="1" w:afterAutospacing="1" w:line="240" w:lineRule="auto"/>
    </w:pPr>
    <w:rPr>
      <w:rFonts w:ascii="Times New Roman" w:eastAsiaTheme="minorEastAsia" w:hAnsi="Times New Roman" w:cs="Times New Roman"/>
      <w:sz w:val="24"/>
      <w:szCs w:val="24"/>
      <w:lang w:eastAsia="es-CO"/>
    </w:rPr>
  </w:style>
  <w:style w:type="paragraph" w:styleId="Textocomentario">
    <w:name w:val="annotation text"/>
    <w:basedOn w:val="Normal"/>
    <w:link w:val="TextocomentarioCar"/>
    <w:uiPriority w:val="99"/>
    <w:semiHidden/>
    <w:unhideWhenUsed/>
    <w:rsid w:val="001229DF"/>
    <w:pPr>
      <w:spacing w:line="240" w:lineRule="auto"/>
    </w:pPr>
    <w:rPr>
      <w:sz w:val="20"/>
      <w:szCs w:val="20"/>
    </w:rPr>
  </w:style>
  <w:style w:type="paragraph" w:styleId="Textodeglobo">
    <w:name w:val="Balloon Text"/>
    <w:basedOn w:val="Normal"/>
    <w:link w:val="TextodegloboCar"/>
    <w:uiPriority w:val="99"/>
    <w:semiHidden/>
    <w:unhideWhenUsed/>
    <w:qFormat/>
    <w:rsid w:val="001229DF"/>
    <w:pPr>
      <w:spacing w:after="0" w:line="240" w:lineRule="auto"/>
    </w:pPr>
    <w:rPr>
      <w:rFonts w:ascii="Segoe UI" w:hAnsi="Segoe UI" w:cs="Segoe UI"/>
      <w:sz w:val="18"/>
      <w:szCs w:val="18"/>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53590F"/>
    <w:pPr>
      <w:tabs>
        <w:tab w:val="center" w:pos="4252"/>
        <w:tab w:val="right" w:pos="8504"/>
      </w:tabs>
      <w:spacing w:after="0" w:line="240" w:lineRule="auto"/>
    </w:pPr>
  </w:style>
  <w:style w:type="paragraph" w:styleId="Piedepgina">
    <w:name w:val="footer"/>
    <w:basedOn w:val="Normal"/>
    <w:link w:val="PiedepginaCar"/>
    <w:uiPriority w:val="99"/>
    <w:unhideWhenUsed/>
    <w:rsid w:val="0053590F"/>
    <w:pPr>
      <w:tabs>
        <w:tab w:val="center" w:pos="4252"/>
        <w:tab w:val="right" w:pos="8504"/>
      </w:tabs>
      <w:spacing w:after="0" w:line="240" w:lineRule="auto"/>
    </w:pPr>
  </w:style>
  <w:style w:type="paragraph" w:customStyle="1" w:styleId="Contenidodelmarcouser">
    <w:name w:val="Contenido del marco (user)"/>
    <w:basedOn w:val="Normal"/>
    <w:qFormat/>
  </w:style>
  <w:style w:type="paragraph" w:customStyle="1" w:styleId="Contenidodelmarco">
    <w:name w:val="Contenido del marco"/>
    <w:basedOn w:val="Normal"/>
    <w:qFormat/>
  </w:style>
  <w:style w:type="numbering" w:customStyle="1" w:styleId="Ningunalistauser">
    <w:name w:val="Ninguna lista (user)"/>
    <w:uiPriority w:val="99"/>
    <w:semiHidden/>
    <w:unhideWhenUsed/>
    <w:qFormat/>
  </w:style>
  <w:style w:type="numbering" w:customStyle="1" w:styleId="Listaactual1">
    <w:name w:val="Lista actual1"/>
    <w:uiPriority w:val="99"/>
    <w:qFormat/>
    <w:rsid w:val="00BB0537"/>
  </w:style>
  <w:style w:type="table" w:styleId="Sombreadoclaro">
    <w:name w:val="Light Shading"/>
    <w:basedOn w:val="Tablanormal"/>
    <w:uiPriority w:val="60"/>
    <w:rsid w:val="00441151"/>
    <w:pPr>
      <w:jc w:val="both"/>
    </w:pPr>
    <w:rPr>
      <w:rFonts w:eastAsiaTheme="minorEastAsia"/>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concuadrcula">
    <w:name w:val="Table Grid"/>
    <w:basedOn w:val="Tablanormal"/>
    <w:uiPriority w:val="39"/>
    <w:rsid w:val="003D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6concolores-nfasis1">
    <w:name w:val="Grid Table 6 Colorful Accent 1"/>
    <w:basedOn w:val="Tablanormal"/>
    <w:uiPriority w:val="51"/>
    <w:rsid w:val="003A28F2"/>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37/1040-3590.7.3.238" TargetMode="External"/><Relationship Id="rId18" Type="http://schemas.openxmlformats.org/officeDocument/2006/relationships/hyperlink" Target="https://doi.org/10.1037/0021-9010.88.5.879"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515/9783110795431-014" TargetMode="External"/><Relationship Id="rId7" Type="http://schemas.openxmlformats.org/officeDocument/2006/relationships/endnotes" Target="endnotes.xml"/><Relationship Id="rId12" Type="http://schemas.openxmlformats.org/officeDocument/2006/relationships/hyperlink" Target="https://dspace.tdea.edu.co/handle/tdea/3197?utm_source=chatgpt.com" TargetMode="External"/><Relationship Id="rId17" Type="http://schemas.openxmlformats.org/officeDocument/2006/relationships/hyperlink" Target="https://psycnet.apa.org/record/1974-22049-00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ortafolio.co/negocios/industria/temu-y-shein-importaciones-textiles-crecen-15-2-por-ciento-2025" TargetMode="External"/><Relationship Id="rId20" Type="http://schemas.openxmlformats.org/officeDocument/2006/relationships/hyperlink" Target="https://doi.org/10.54254/2754-1169/2024.1863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bes.co/2025/06/13/negocios/comerciantes-del-gran-san-en-bogota-alertan-sobre-riesgo-que-representan-temu-y-shein-para-sus-negocio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108/10610421211215517"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kingsresearch.com/es/fast-fashion-market-136" TargetMode="External"/><Relationship Id="rId19" Type="http://schemas.openxmlformats.org/officeDocument/2006/relationships/hyperlink" Target="https://www.researchgate.net/publication/391980758_Market_Entry_Strategies_of_Temu_and_Shein_A_Comparative_Analysis?utm_source=chatgp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vadoc.uva.es/handle/10324/70338" TargetMode="External"/><Relationship Id="rId22" Type="http://schemas.openxmlformats.org/officeDocument/2006/relationships/hyperlink" Target="https://doi.org/10.1177/002224298805200302"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A920B397994F589EAA13A78ED23B48"/>
        <w:category>
          <w:name w:val="General"/>
          <w:gallery w:val="placeholder"/>
        </w:category>
        <w:types>
          <w:type w:val="bbPlcHdr"/>
        </w:types>
        <w:behaviors>
          <w:behavior w:val="content"/>
        </w:behaviors>
        <w:guid w:val="{48268140-FD48-43BE-BFF4-AE7C49B01A63}"/>
      </w:docPartPr>
      <w:docPartBody>
        <w:p w:rsidR="00060107" w:rsidRDefault="004544FE" w:rsidP="004544FE">
          <w:pPr>
            <w:pStyle w:val="8CA920B397994F589EAA13A78ED23B48"/>
          </w:pPr>
          <w:r w:rsidRPr="00756CA3">
            <w:rPr>
              <w:rStyle w:val="Textodelmarcadordeposicin"/>
            </w:rPr>
            <w:t>Haga clic o pulse aquí para escribir texto.</w:t>
          </w:r>
        </w:p>
      </w:docPartBody>
    </w:docPart>
    <w:docPart>
      <w:docPartPr>
        <w:name w:val="5691A6E8DE934DA2865D7A2E0142210C"/>
        <w:category>
          <w:name w:val="General"/>
          <w:gallery w:val="placeholder"/>
        </w:category>
        <w:types>
          <w:type w:val="bbPlcHdr"/>
        </w:types>
        <w:behaviors>
          <w:behavior w:val="content"/>
        </w:behaviors>
        <w:guid w:val="{83F690F9-73E8-4DCC-A05A-1574F78E8AA2}"/>
      </w:docPartPr>
      <w:docPartBody>
        <w:p w:rsidR="00060107" w:rsidRDefault="004544FE" w:rsidP="004544FE">
          <w:pPr>
            <w:pStyle w:val="5691A6E8DE934DA2865D7A2E0142210C"/>
          </w:pPr>
          <w:r w:rsidRPr="00756CA3">
            <w:rPr>
              <w:rStyle w:val="Textodelmarcadordeposicin"/>
            </w:rPr>
            <w:t>Haga clic o pulse aquí para escribir texto.</w:t>
          </w:r>
        </w:p>
      </w:docPartBody>
    </w:docPart>
    <w:docPart>
      <w:docPartPr>
        <w:name w:val="61749D49E76B4BADA9A39B87D415F6F0"/>
        <w:category>
          <w:name w:val="General"/>
          <w:gallery w:val="placeholder"/>
        </w:category>
        <w:types>
          <w:type w:val="bbPlcHdr"/>
        </w:types>
        <w:behaviors>
          <w:behavior w:val="content"/>
        </w:behaviors>
        <w:guid w:val="{76611C58-EFCB-4248-BD03-1782029026CE}"/>
      </w:docPartPr>
      <w:docPartBody>
        <w:p w:rsidR="00060107" w:rsidRDefault="004544FE" w:rsidP="004544FE">
          <w:pPr>
            <w:pStyle w:val="61749D49E76B4BADA9A39B87D415F6F0"/>
          </w:pPr>
          <w:r w:rsidRPr="00756CA3">
            <w:rPr>
              <w:rStyle w:val="Textodelmarcadordeposicin"/>
            </w:rPr>
            <w:t>Haga clic o pulse aquí para escribir texto.</w:t>
          </w:r>
        </w:p>
      </w:docPartBody>
    </w:docPart>
    <w:docPart>
      <w:docPartPr>
        <w:name w:val="5FA19B4D264A43B2A0ACED71310C2711"/>
        <w:category>
          <w:name w:val="General"/>
          <w:gallery w:val="placeholder"/>
        </w:category>
        <w:types>
          <w:type w:val="bbPlcHdr"/>
        </w:types>
        <w:behaviors>
          <w:behavior w:val="content"/>
        </w:behaviors>
        <w:guid w:val="{F237AACC-8926-4B94-9EAF-A3FD56BCA338}"/>
      </w:docPartPr>
      <w:docPartBody>
        <w:p w:rsidR="00060107" w:rsidRDefault="004544FE" w:rsidP="004544FE">
          <w:pPr>
            <w:pStyle w:val="5FA19B4D264A43B2A0ACED71310C2711"/>
          </w:pPr>
          <w:r w:rsidRPr="00756CA3">
            <w:rPr>
              <w:rStyle w:val="Textodelmarcadordeposicin"/>
            </w:rPr>
            <w:t>Haga clic o pulse aquí para escribir texto.</w:t>
          </w:r>
        </w:p>
      </w:docPartBody>
    </w:docPart>
    <w:docPart>
      <w:docPartPr>
        <w:name w:val="07B412329F264BA8839DE08237B297B4"/>
        <w:category>
          <w:name w:val="General"/>
          <w:gallery w:val="placeholder"/>
        </w:category>
        <w:types>
          <w:type w:val="bbPlcHdr"/>
        </w:types>
        <w:behaviors>
          <w:behavior w:val="content"/>
        </w:behaviors>
        <w:guid w:val="{3A4895F4-ACE4-4588-9638-A9D62D8E4CC2}"/>
      </w:docPartPr>
      <w:docPartBody>
        <w:p w:rsidR="00060107" w:rsidRDefault="004544FE" w:rsidP="004544FE">
          <w:pPr>
            <w:pStyle w:val="07B412329F264BA8839DE08237B297B4"/>
          </w:pPr>
          <w:r w:rsidRPr="00756CA3">
            <w:rPr>
              <w:rStyle w:val="Textodelmarcadordeposicin"/>
            </w:rPr>
            <w:t>Haga clic o pulse aquí para escribir texto.</w:t>
          </w:r>
        </w:p>
      </w:docPartBody>
    </w:docPart>
    <w:docPart>
      <w:docPartPr>
        <w:name w:val="17C4F98550AF4D29AFD56C498F887157"/>
        <w:category>
          <w:name w:val="General"/>
          <w:gallery w:val="placeholder"/>
        </w:category>
        <w:types>
          <w:type w:val="bbPlcHdr"/>
        </w:types>
        <w:behaviors>
          <w:behavior w:val="content"/>
        </w:behaviors>
        <w:guid w:val="{0D588B6E-B475-4098-92A2-AE54E14EB706}"/>
      </w:docPartPr>
      <w:docPartBody>
        <w:p w:rsidR="00060107" w:rsidRDefault="004544FE" w:rsidP="004544FE">
          <w:pPr>
            <w:pStyle w:val="17C4F98550AF4D29AFD56C498F887157"/>
          </w:pPr>
          <w:r w:rsidRPr="00756CA3">
            <w:rPr>
              <w:rStyle w:val="Textodelmarcadordeposicin"/>
            </w:rPr>
            <w:t>Haga clic o pulse aquí para escribir texto.</w:t>
          </w:r>
        </w:p>
      </w:docPartBody>
    </w:docPart>
    <w:docPart>
      <w:docPartPr>
        <w:name w:val="A57F2E73D0CE4351AC9E5791CE971BAB"/>
        <w:category>
          <w:name w:val="General"/>
          <w:gallery w:val="placeholder"/>
        </w:category>
        <w:types>
          <w:type w:val="bbPlcHdr"/>
        </w:types>
        <w:behaviors>
          <w:behavior w:val="content"/>
        </w:behaviors>
        <w:guid w:val="{F6A1E28B-D631-4BE8-8705-E08600EB6C16}"/>
      </w:docPartPr>
      <w:docPartBody>
        <w:p w:rsidR="00060107" w:rsidRDefault="004544FE" w:rsidP="004544FE">
          <w:pPr>
            <w:pStyle w:val="A57F2E73D0CE4351AC9E5791CE971BAB"/>
          </w:pPr>
          <w:r w:rsidRPr="00756CA3">
            <w:rPr>
              <w:rStyle w:val="Textodelmarcadordeposicin"/>
            </w:rPr>
            <w:t>Haga clic o pulse aquí para escribir texto.</w:t>
          </w:r>
        </w:p>
      </w:docPartBody>
    </w:docPart>
    <w:docPart>
      <w:docPartPr>
        <w:name w:val="1FB703034E624C619874E1630200D195"/>
        <w:category>
          <w:name w:val="General"/>
          <w:gallery w:val="placeholder"/>
        </w:category>
        <w:types>
          <w:type w:val="bbPlcHdr"/>
        </w:types>
        <w:behaviors>
          <w:behavior w:val="content"/>
        </w:behaviors>
        <w:guid w:val="{C3481C95-7DE2-49C0-ABC3-B45FDC9E24C4}"/>
      </w:docPartPr>
      <w:docPartBody>
        <w:p w:rsidR="00060107" w:rsidRDefault="004544FE" w:rsidP="004544FE">
          <w:pPr>
            <w:pStyle w:val="1FB703034E624C619874E1630200D195"/>
          </w:pPr>
          <w:r w:rsidRPr="00756CA3">
            <w:rPr>
              <w:rStyle w:val="Textodelmarcadordeposicin"/>
            </w:rPr>
            <w:t>Haga clic o pulse aquí para escribir texto.</w:t>
          </w:r>
        </w:p>
      </w:docPartBody>
    </w:docPart>
    <w:docPart>
      <w:docPartPr>
        <w:name w:val="FF9E7AD2F0CB44E084B0FFE5FF014A13"/>
        <w:category>
          <w:name w:val="General"/>
          <w:gallery w:val="placeholder"/>
        </w:category>
        <w:types>
          <w:type w:val="bbPlcHdr"/>
        </w:types>
        <w:behaviors>
          <w:behavior w:val="content"/>
        </w:behaviors>
        <w:guid w:val="{A9B0D243-06D3-49F3-A293-98E17A45E0B3}"/>
      </w:docPartPr>
      <w:docPartBody>
        <w:p w:rsidR="00060107" w:rsidRDefault="004544FE" w:rsidP="004544FE">
          <w:pPr>
            <w:pStyle w:val="FF9E7AD2F0CB44E084B0FFE5FF014A13"/>
          </w:pPr>
          <w:r w:rsidRPr="00756CA3">
            <w:rPr>
              <w:rStyle w:val="Textodelmarcadordeposicin"/>
            </w:rPr>
            <w:t>Haga clic o pulse aquí para escribir texto.</w:t>
          </w:r>
        </w:p>
      </w:docPartBody>
    </w:docPart>
    <w:docPart>
      <w:docPartPr>
        <w:name w:val="E092070C9300434D848A387ADF48F006"/>
        <w:category>
          <w:name w:val="General"/>
          <w:gallery w:val="placeholder"/>
        </w:category>
        <w:types>
          <w:type w:val="bbPlcHdr"/>
        </w:types>
        <w:behaviors>
          <w:behavior w:val="content"/>
        </w:behaviors>
        <w:guid w:val="{1DEB9900-F097-4BEF-A322-AEB2C409DE7C}"/>
      </w:docPartPr>
      <w:docPartBody>
        <w:p w:rsidR="00060107" w:rsidRDefault="004544FE" w:rsidP="004544FE">
          <w:pPr>
            <w:pStyle w:val="E092070C9300434D848A387ADF48F006"/>
          </w:pPr>
          <w:r w:rsidRPr="00756CA3">
            <w:rPr>
              <w:rStyle w:val="Textodelmarcadordeposicin"/>
            </w:rPr>
            <w:t>Haga clic o pulse aquí para escribir texto.</w:t>
          </w:r>
        </w:p>
      </w:docPartBody>
    </w:docPart>
    <w:docPart>
      <w:docPartPr>
        <w:name w:val="FEBCB66470F24E23850B57C24EBF812B"/>
        <w:category>
          <w:name w:val="General"/>
          <w:gallery w:val="placeholder"/>
        </w:category>
        <w:types>
          <w:type w:val="bbPlcHdr"/>
        </w:types>
        <w:behaviors>
          <w:behavior w:val="content"/>
        </w:behaviors>
        <w:guid w:val="{DD8EACE7-4E5B-4139-8F47-6FD969E69333}"/>
      </w:docPartPr>
      <w:docPartBody>
        <w:p w:rsidR="00060107" w:rsidRDefault="004544FE" w:rsidP="004544FE">
          <w:pPr>
            <w:pStyle w:val="FEBCB66470F24E23850B57C24EBF812B"/>
          </w:pPr>
          <w:r w:rsidRPr="00756CA3">
            <w:rPr>
              <w:rStyle w:val="Textodelmarcadordeposicin"/>
            </w:rPr>
            <w:t>Haga clic o pulse aquí para escribir texto.</w:t>
          </w:r>
        </w:p>
      </w:docPartBody>
    </w:docPart>
    <w:docPart>
      <w:docPartPr>
        <w:name w:val="B55E92043E0A40E982C09925D6D7FB68"/>
        <w:category>
          <w:name w:val="General"/>
          <w:gallery w:val="placeholder"/>
        </w:category>
        <w:types>
          <w:type w:val="bbPlcHdr"/>
        </w:types>
        <w:behaviors>
          <w:behavior w:val="content"/>
        </w:behaviors>
        <w:guid w:val="{5C328020-7211-4ED8-9292-0D663F36F353}"/>
      </w:docPartPr>
      <w:docPartBody>
        <w:p w:rsidR="00060107" w:rsidRDefault="004544FE" w:rsidP="004544FE">
          <w:pPr>
            <w:pStyle w:val="B55E92043E0A40E982C09925D6D7FB68"/>
          </w:pPr>
          <w:r w:rsidRPr="00756CA3">
            <w:rPr>
              <w:rStyle w:val="Textodelmarcadordeposicin"/>
            </w:rPr>
            <w:t>Haga clic o pulse aquí para escribir texto.</w:t>
          </w:r>
        </w:p>
      </w:docPartBody>
    </w:docPart>
    <w:docPart>
      <w:docPartPr>
        <w:name w:val="FEC99A0E6D6541B3882CCED5A581597E"/>
        <w:category>
          <w:name w:val="General"/>
          <w:gallery w:val="placeholder"/>
        </w:category>
        <w:types>
          <w:type w:val="bbPlcHdr"/>
        </w:types>
        <w:behaviors>
          <w:behavior w:val="content"/>
        </w:behaviors>
        <w:guid w:val="{C8749891-E683-44B4-BE9B-0A5AED152AF7}"/>
      </w:docPartPr>
      <w:docPartBody>
        <w:p w:rsidR="00060107" w:rsidRDefault="004544FE" w:rsidP="004544FE">
          <w:pPr>
            <w:pStyle w:val="FEC99A0E6D6541B3882CCED5A581597E"/>
          </w:pPr>
          <w:r w:rsidRPr="00756CA3">
            <w:rPr>
              <w:rStyle w:val="Textodelmarcadordeposicin"/>
            </w:rPr>
            <w:t>Haga clic o pulse aquí para escribir texto.</w:t>
          </w:r>
        </w:p>
      </w:docPartBody>
    </w:docPart>
    <w:docPart>
      <w:docPartPr>
        <w:name w:val="9CCCDAB502EA43669E36445E3CD95A5A"/>
        <w:category>
          <w:name w:val="General"/>
          <w:gallery w:val="placeholder"/>
        </w:category>
        <w:types>
          <w:type w:val="bbPlcHdr"/>
        </w:types>
        <w:behaviors>
          <w:behavior w:val="content"/>
        </w:behaviors>
        <w:guid w:val="{857ED28A-7D44-492C-B1A0-3706B292CC03}"/>
      </w:docPartPr>
      <w:docPartBody>
        <w:p w:rsidR="00644779" w:rsidRDefault="00466F16" w:rsidP="00466F16">
          <w:pPr>
            <w:pStyle w:val="9CCCDAB502EA43669E36445E3CD95A5A"/>
          </w:pPr>
          <w:r w:rsidRPr="00756CA3">
            <w:rPr>
              <w:rStyle w:val="Textodelmarcadordeposicin"/>
            </w:rPr>
            <w:t>Haga clic o pulse aquí para escribir texto.</w:t>
          </w:r>
        </w:p>
      </w:docPartBody>
    </w:docPart>
    <w:docPart>
      <w:docPartPr>
        <w:name w:val="864964ED10014952B918F5F34330D94C"/>
        <w:category>
          <w:name w:val="General"/>
          <w:gallery w:val="placeholder"/>
        </w:category>
        <w:types>
          <w:type w:val="bbPlcHdr"/>
        </w:types>
        <w:behaviors>
          <w:behavior w:val="content"/>
        </w:behaviors>
        <w:guid w:val="{DC29EFF0-FE3E-46AD-8FD4-3471F48B857E}"/>
      </w:docPartPr>
      <w:docPartBody>
        <w:p w:rsidR="00644779" w:rsidRDefault="00466F16" w:rsidP="00466F16">
          <w:pPr>
            <w:pStyle w:val="864964ED10014952B918F5F34330D94C"/>
          </w:pPr>
          <w:r w:rsidRPr="00756CA3">
            <w:rPr>
              <w:rStyle w:val="Textodelmarcadordeposicin"/>
            </w:rPr>
            <w:t>Haga clic o pulse aquí para escribir texto.</w:t>
          </w:r>
        </w:p>
      </w:docPartBody>
    </w:docPart>
    <w:docPart>
      <w:docPartPr>
        <w:name w:val="EFF71D27CA324798A1FE181EDDCFFC06"/>
        <w:category>
          <w:name w:val="General"/>
          <w:gallery w:val="placeholder"/>
        </w:category>
        <w:types>
          <w:type w:val="bbPlcHdr"/>
        </w:types>
        <w:behaviors>
          <w:behavior w:val="content"/>
        </w:behaviors>
        <w:guid w:val="{B61DF1E0-B1BC-4BF7-85FB-654BF7D8CF74}"/>
      </w:docPartPr>
      <w:docPartBody>
        <w:p w:rsidR="00644779" w:rsidRDefault="00466F16" w:rsidP="00466F16">
          <w:pPr>
            <w:pStyle w:val="EFF71D27CA324798A1FE181EDDCFFC06"/>
          </w:pPr>
          <w:r w:rsidRPr="00756CA3">
            <w:rPr>
              <w:rStyle w:val="Textodelmarcadordeposicin"/>
            </w:rPr>
            <w:t>Haga clic o pulse aquí para escribir texto.</w:t>
          </w:r>
        </w:p>
      </w:docPartBody>
    </w:docPart>
    <w:docPart>
      <w:docPartPr>
        <w:name w:val="3F41F5EA69E94FD89A1B7E00BAEC4332"/>
        <w:category>
          <w:name w:val="General"/>
          <w:gallery w:val="placeholder"/>
        </w:category>
        <w:types>
          <w:type w:val="bbPlcHdr"/>
        </w:types>
        <w:behaviors>
          <w:behavior w:val="content"/>
        </w:behaviors>
        <w:guid w:val="{4A59FF3D-3C57-4399-B6A9-E2297CAE2180}"/>
      </w:docPartPr>
      <w:docPartBody>
        <w:p w:rsidR="00644779" w:rsidRDefault="00466F16" w:rsidP="00466F16">
          <w:pPr>
            <w:pStyle w:val="3F41F5EA69E94FD89A1B7E00BAEC4332"/>
          </w:pPr>
          <w:r w:rsidRPr="00756CA3">
            <w:rPr>
              <w:rStyle w:val="Textodelmarcadordeposicin"/>
            </w:rPr>
            <w:t>Haga clic o pulse aquí para escribir texto.</w:t>
          </w:r>
        </w:p>
      </w:docPartBody>
    </w:docPart>
    <w:docPart>
      <w:docPartPr>
        <w:name w:val="DA66CDA19F9341FC8B7DBC2AF22B6DFE"/>
        <w:category>
          <w:name w:val="General"/>
          <w:gallery w:val="placeholder"/>
        </w:category>
        <w:types>
          <w:type w:val="bbPlcHdr"/>
        </w:types>
        <w:behaviors>
          <w:behavior w:val="content"/>
        </w:behaviors>
        <w:guid w:val="{D819F693-DF67-4964-98A2-257D5F2DDC90}"/>
      </w:docPartPr>
      <w:docPartBody>
        <w:p w:rsidR="00644779" w:rsidRDefault="00466F16" w:rsidP="00466F16">
          <w:pPr>
            <w:pStyle w:val="DA66CDA19F9341FC8B7DBC2AF22B6DFE"/>
          </w:pPr>
          <w:r w:rsidRPr="00756CA3">
            <w:rPr>
              <w:rStyle w:val="Textodelmarcadordeposicin"/>
            </w:rPr>
            <w:t>Haga clic o pulse aquí para escribir texto.</w:t>
          </w:r>
        </w:p>
      </w:docPartBody>
    </w:docPart>
    <w:docPart>
      <w:docPartPr>
        <w:name w:val="A4A464261680469BB548236D3B15524D"/>
        <w:category>
          <w:name w:val="General"/>
          <w:gallery w:val="placeholder"/>
        </w:category>
        <w:types>
          <w:type w:val="bbPlcHdr"/>
        </w:types>
        <w:behaviors>
          <w:behavior w:val="content"/>
        </w:behaviors>
        <w:guid w:val="{DB51B2C9-C299-4012-9403-FE273F5AE681}"/>
      </w:docPartPr>
      <w:docPartBody>
        <w:p w:rsidR="00644779" w:rsidRDefault="00466F16" w:rsidP="00466F16">
          <w:pPr>
            <w:pStyle w:val="A4A464261680469BB548236D3B15524D"/>
          </w:pPr>
          <w:r w:rsidRPr="00756CA3">
            <w:rPr>
              <w:rStyle w:val="Textodelmarcadordeposicin"/>
            </w:rPr>
            <w:t>Haga clic o pulse aquí para escribir texto.</w:t>
          </w:r>
        </w:p>
      </w:docPartBody>
    </w:docPart>
    <w:docPart>
      <w:docPartPr>
        <w:name w:val="3E6BB8C8364A4796B244A85CF9A1193F"/>
        <w:category>
          <w:name w:val="General"/>
          <w:gallery w:val="placeholder"/>
        </w:category>
        <w:types>
          <w:type w:val="bbPlcHdr"/>
        </w:types>
        <w:behaviors>
          <w:behavior w:val="content"/>
        </w:behaviors>
        <w:guid w:val="{5E64188A-45EB-4D69-A40D-14A8C8EAE9AA}"/>
      </w:docPartPr>
      <w:docPartBody>
        <w:p w:rsidR="00644779" w:rsidRDefault="00466F16" w:rsidP="00466F16">
          <w:pPr>
            <w:pStyle w:val="3E6BB8C8364A4796B244A85CF9A1193F"/>
          </w:pPr>
          <w:r w:rsidRPr="00756CA3">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docs-Roboto">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4FE"/>
    <w:rsid w:val="00036DB0"/>
    <w:rsid w:val="00060107"/>
    <w:rsid w:val="002F2828"/>
    <w:rsid w:val="003144C8"/>
    <w:rsid w:val="00362CFE"/>
    <w:rsid w:val="003808C0"/>
    <w:rsid w:val="003954EC"/>
    <w:rsid w:val="003D0259"/>
    <w:rsid w:val="00427169"/>
    <w:rsid w:val="004544FE"/>
    <w:rsid w:val="00466F16"/>
    <w:rsid w:val="0053284B"/>
    <w:rsid w:val="0059225E"/>
    <w:rsid w:val="005E4612"/>
    <w:rsid w:val="00644779"/>
    <w:rsid w:val="00686D1F"/>
    <w:rsid w:val="006C2840"/>
    <w:rsid w:val="00744447"/>
    <w:rsid w:val="00861473"/>
    <w:rsid w:val="0097660A"/>
    <w:rsid w:val="00A202C0"/>
    <w:rsid w:val="00A56EB2"/>
    <w:rsid w:val="00B72BA3"/>
    <w:rsid w:val="00B72CC3"/>
    <w:rsid w:val="00B945B0"/>
    <w:rsid w:val="00C07333"/>
    <w:rsid w:val="00C34ED8"/>
    <w:rsid w:val="00CA4BB6"/>
    <w:rsid w:val="00CA553B"/>
    <w:rsid w:val="00D919AA"/>
    <w:rsid w:val="00DA5658"/>
    <w:rsid w:val="00DC170C"/>
    <w:rsid w:val="00E4271A"/>
    <w:rsid w:val="00EB24D0"/>
    <w:rsid w:val="00F52352"/>
    <w:rsid w:val="00FA341C"/>
    <w:rsid w:val="00FB2E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6F16"/>
    <w:rPr>
      <w:color w:val="666666"/>
    </w:rPr>
  </w:style>
  <w:style w:type="paragraph" w:customStyle="1" w:styleId="8CA920B397994F589EAA13A78ED23B48">
    <w:name w:val="8CA920B397994F589EAA13A78ED23B48"/>
    <w:rsid w:val="004544FE"/>
  </w:style>
  <w:style w:type="paragraph" w:customStyle="1" w:styleId="5691A6E8DE934DA2865D7A2E0142210C">
    <w:name w:val="5691A6E8DE934DA2865D7A2E0142210C"/>
    <w:rsid w:val="004544FE"/>
  </w:style>
  <w:style w:type="paragraph" w:customStyle="1" w:styleId="61749D49E76B4BADA9A39B87D415F6F0">
    <w:name w:val="61749D49E76B4BADA9A39B87D415F6F0"/>
    <w:rsid w:val="004544FE"/>
  </w:style>
  <w:style w:type="paragraph" w:customStyle="1" w:styleId="5FA19B4D264A43B2A0ACED71310C2711">
    <w:name w:val="5FA19B4D264A43B2A0ACED71310C2711"/>
    <w:rsid w:val="004544FE"/>
  </w:style>
  <w:style w:type="paragraph" w:customStyle="1" w:styleId="07B412329F264BA8839DE08237B297B4">
    <w:name w:val="07B412329F264BA8839DE08237B297B4"/>
    <w:rsid w:val="004544FE"/>
  </w:style>
  <w:style w:type="paragraph" w:customStyle="1" w:styleId="17C4F98550AF4D29AFD56C498F887157">
    <w:name w:val="17C4F98550AF4D29AFD56C498F887157"/>
    <w:rsid w:val="004544FE"/>
  </w:style>
  <w:style w:type="paragraph" w:customStyle="1" w:styleId="A57F2E73D0CE4351AC9E5791CE971BAB">
    <w:name w:val="A57F2E73D0CE4351AC9E5791CE971BAB"/>
    <w:rsid w:val="004544FE"/>
  </w:style>
  <w:style w:type="paragraph" w:customStyle="1" w:styleId="1FB703034E624C619874E1630200D195">
    <w:name w:val="1FB703034E624C619874E1630200D195"/>
    <w:rsid w:val="004544FE"/>
  </w:style>
  <w:style w:type="paragraph" w:customStyle="1" w:styleId="FF9E7AD2F0CB44E084B0FFE5FF014A13">
    <w:name w:val="FF9E7AD2F0CB44E084B0FFE5FF014A13"/>
    <w:rsid w:val="004544FE"/>
  </w:style>
  <w:style w:type="paragraph" w:customStyle="1" w:styleId="E092070C9300434D848A387ADF48F006">
    <w:name w:val="E092070C9300434D848A387ADF48F006"/>
    <w:rsid w:val="004544FE"/>
  </w:style>
  <w:style w:type="paragraph" w:customStyle="1" w:styleId="FEBCB66470F24E23850B57C24EBF812B">
    <w:name w:val="FEBCB66470F24E23850B57C24EBF812B"/>
    <w:rsid w:val="004544FE"/>
  </w:style>
  <w:style w:type="paragraph" w:customStyle="1" w:styleId="B55E92043E0A40E982C09925D6D7FB68">
    <w:name w:val="B55E92043E0A40E982C09925D6D7FB68"/>
    <w:rsid w:val="004544FE"/>
  </w:style>
  <w:style w:type="paragraph" w:customStyle="1" w:styleId="FEC99A0E6D6541B3882CCED5A581597E">
    <w:name w:val="FEC99A0E6D6541B3882CCED5A581597E"/>
    <w:rsid w:val="004544FE"/>
  </w:style>
  <w:style w:type="paragraph" w:customStyle="1" w:styleId="9CCCDAB502EA43669E36445E3CD95A5A">
    <w:name w:val="9CCCDAB502EA43669E36445E3CD95A5A"/>
    <w:rsid w:val="00466F16"/>
  </w:style>
  <w:style w:type="paragraph" w:customStyle="1" w:styleId="864964ED10014952B918F5F34330D94C">
    <w:name w:val="864964ED10014952B918F5F34330D94C"/>
    <w:rsid w:val="00466F16"/>
  </w:style>
  <w:style w:type="paragraph" w:customStyle="1" w:styleId="EFF71D27CA324798A1FE181EDDCFFC06">
    <w:name w:val="EFF71D27CA324798A1FE181EDDCFFC06"/>
    <w:rsid w:val="00466F16"/>
  </w:style>
  <w:style w:type="paragraph" w:customStyle="1" w:styleId="3F41F5EA69E94FD89A1B7E00BAEC4332">
    <w:name w:val="3F41F5EA69E94FD89A1B7E00BAEC4332"/>
    <w:rsid w:val="00466F16"/>
  </w:style>
  <w:style w:type="paragraph" w:customStyle="1" w:styleId="DA66CDA19F9341FC8B7DBC2AF22B6DFE">
    <w:name w:val="DA66CDA19F9341FC8B7DBC2AF22B6DFE"/>
    <w:rsid w:val="00466F16"/>
  </w:style>
  <w:style w:type="paragraph" w:customStyle="1" w:styleId="A4A464261680469BB548236D3B15524D">
    <w:name w:val="A4A464261680469BB548236D3B15524D"/>
    <w:rsid w:val="00466F16"/>
  </w:style>
  <w:style w:type="paragraph" w:customStyle="1" w:styleId="3E6BB8C8364A4796B244A85CF9A1193F">
    <w:name w:val="3E6BB8C8364A4796B244A85CF9A1193F"/>
    <w:rsid w:val="00466F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B9AC1-BA74-4484-BB83-5DEF3DC52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3125</TotalTime>
  <Pages>75</Pages>
  <Words>22864</Words>
  <Characters>125757</Characters>
  <Application>Microsoft Office Word</Application>
  <DocSecurity>0</DocSecurity>
  <Lines>1047</Lines>
  <Paragraphs>296</Paragraphs>
  <ScaleCrop>false</ScaleCrop>
  <Company/>
  <LinksUpToDate>false</LinksUpToDate>
  <CharactersWithSpaces>148325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Patricia Rojas Berrio</dc:creator>
  <dc:description/>
  <cp:lastModifiedBy>Ana Maria Garzon Ardila</cp:lastModifiedBy>
  <cp:revision>912</cp:revision>
  <dcterms:created xsi:type="dcterms:W3CDTF">2026-04-18T23:39:00Z</dcterms:created>
  <dcterms:modified xsi:type="dcterms:W3CDTF">2026-07-15T01:19:00Z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http://www.zotero.org/styles/harvard1</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16th edition (author-date)</vt:lpwstr>
  </property>
  <property fmtid="{D5CDD505-2E9C-101B-9397-08002B2CF9AE}" pid="19" name="Mendeley Recent Style Name 5_1">
    <vt:lpwstr>Harvard Reference format 1 (author-date)</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7th edition</vt:lpwstr>
  </property>
  <property fmtid="{D5CDD505-2E9C-101B-9397-08002B2CF9AE}" pid="23" name="Mendeley Recent Style Name 9_1">
    <vt:lpwstr>Nature</vt:lpwstr>
  </property>
  <property fmtid="{D5CDD505-2E9C-101B-9397-08002B2CF9AE}" pid="24" name="Mendeley User Name_1">
    <vt:lpwstr>sprojasb@gmail.com@www.mendeley.com</vt:lpwstr>
  </property>
</Properties>
</file>